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4" w:rsidRDefault="00BB47DF" w:rsidP="0038587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BA4" w:rsidRDefault="00F00BA4" w:rsidP="00385878">
      <w:pPr>
        <w:jc w:val="right"/>
        <w:rPr>
          <w:b/>
          <w:sz w:val="28"/>
          <w:szCs w:val="28"/>
        </w:rPr>
      </w:pPr>
    </w:p>
    <w:p w:rsidR="00300FD8" w:rsidRDefault="00F00BA4" w:rsidP="0030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УНИНСКОГО МУНИЦИПАЛЬНОГО ОКРУГА</w:t>
      </w:r>
      <w:r w:rsidR="00300FD8">
        <w:rPr>
          <w:b/>
          <w:sz w:val="28"/>
          <w:szCs w:val="28"/>
        </w:rPr>
        <w:t xml:space="preserve">  </w:t>
      </w:r>
    </w:p>
    <w:p w:rsidR="00300FD8" w:rsidRDefault="00300FD8" w:rsidP="0030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   </w:t>
      </w:r>
    </w:p>
    <w:p w:rsidR="00300FD8" w:rsidRDefault="00300FD8" w:rsidP="00300FD8">
      <w:pPr>
        <w:jc w:val="both"/>
        <w:rPr>
          <w:b/>
          <w:sz w:val="36"/>
          <w:szCs w:val="36"/>
        </w:rPr>
      </w:pPr>
    </w:p>
    <w:p w:rsidR="00300FD8" w:rsidRDefault="00300FD8" w:rsidP="00300FD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00FD8" w:rsidRDefault="00300FD8" w:rsidP="00300FD8">
      <w:pPr>
        <w:rPr>
          <w:sz w:val="36"/>
          <w:szCs w:val="36"/>
        </w:rPr>
      </w:pPr>
    </w:p>
    <w:p w:rsidR="00300FD8" w:rsidRDefault="00C8402C" w:rsidP="00300FD8">
      <w:pPr>
        <w:rPr>
          <w:sz w:val="28"/>
          <w:szCs w:val="28"/>
        </w:rPr>
      </w:pPr>
      <w:r>
        <w:rPr>
          <w:sz w:val="28"/>
          <w:szCs w:val="28"/>
        </w:rPr>
        <w:t>30.12.2022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FD8">
        <w:rPr>
          <w:sz w:val="28"/>
          <w:szCs w:val="28"/>
        </w:rPr>
        <w:t xml:space="preserve">                             </w:t>
      </w:r>
      <w:r w:rsidR="00700DFD">
        <w:rPr>
          <w:sz w:val="28"/>
          <w:szCs w:val="28"/>
        </w:rPr>
        <w:t xml:space="preserve">                           </w:t>
      </w:r>
      <w:r w:rsidR="007E0B76">
        <w:rPr>
          <w:sz w:val="28"/>
          <w:szCs w:val="28"/>
        </w:rPr>
        <w:t xml:space="preserve">                             </w:t>
      </w:r>
      <w:r w:rsidR="00300FD8">
        <w:rPr>
          <w:sz w:val="28"/>
          <w:szCs w:val="28"/>
        </w:rPr>
        <w:t xml:space="preserve">№ </w:t>
      </w:r>
      <w:r>
        <w:rPr>
          <w:sz w:val="28"/>
          <w:szCs w:val="28"/>
        </w:rPr>
        <w:t>750</w:t>
      </w:r>
    </w:p>
    <w:p w:rsidR="00300FD8" w:rsidRDefault="00300FD8" w:rsidP="00300FD8">
      <w:pPr>
        <w:jc w:val="center"/>
        <w:rPr>
          <w:sz w:val="28"/>
          <w:szCs w:val="28"/>
        </w:rPr>
      </w:pPr>
      <w:proofErr w:type="spellStart"/>
      <w:r w:rsidRPr="008838FD">
        <w:rPr>
          <w:sz w:val="28"/>
          <w:szCs w:val="28"/>
        </w:rPr>
        <w:t>пгт</w:t>
      </w:r>
      <w:proofErr w:type="spellEnd"/>
      <w:proofErr w:type="gramStart"/>
      <w:r w:rsidRPr="008838FD">
        <w:rPr>
          <w:sz w:val="28"/>
          <w:szCs w:val="28"/>
        </w:rPr>
        <w:t xml:space="preserve"> </w:t>
      </w:r>
      <w:proofErr w:type="spellStart"/>
      <w:r w:rsidRPr="008838FD">
        <w:rPr>
          <w:sz w:val="28"/>
          <w:szCs w:val="28"/>
        </w:rPr>
        <w:t>У</w:t>
      </w:r>
      <w:proofErr w:type="gramEnd"/>
      <w:r w:rsidRPr="008838FD">
        <w:rPr>
          <w:sz w:val="28"/>
          <w:szCs w:val="28"/>
        </w:rPr>
        <w:t>ни</w:t>
      </w:r>
      <w:proofErr w:type="spellEnd"/>
    </w:p>
    <w:p w:rsidR="00FA543F" w:rsidRPr="00300FD8" w:rsidRDefault="00FA543F" w:rsidP="00300FD8">
      <w:pPr>
        <w:jc w:val="center"/>
        <w:rPr>
          <w:sz w:val="48"/>
          <w:szCs w:val="48"/>
        </w:rPr>
      </w:pPr>
    </w:p>
    <w:p w:rsidR="00300FD8" w:rsidRPr="00FA543F" w:rsidRDefault="00385878" w:rsidP="008D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145144">
        <w:rPr>
          <w:b/>
          <w:sz w:val="28"/>
          <w:szCs w:val="28"/>
        </w:rPr>
        <w:t xml:space="preserve"> </w:t>
      </w:r>
      <w:r w:rsidR="00145144" w:rsidRPr="00FA543F">
        <w:rPr>
          <w:b/>
          <w:sz w:val="28"/>
          <w:szCs w:val="28"/>
        </w:rPr>
        <w:t>Унинского района Кировской области от 30.11.2021 № 410</w:t>
      </w:r>
      <w:r w:rsidRPr="00FA543F">
        <w:rPr>
          <w:b/>
          <w:sz w:val="28"/>
          <w:szCs w:val="28"/>
        </w:rPr>
        <w:t xml:space="preserve"> «</w:t>
      </w:r>
      <w:r w:rsidR="007F0E66" w:rsidRPr="00FA543F">
        <w:rPr>
          <w:b/>
          <w:sz w:val="28"/>
          <w:szCs w:val="28"/>
        </w:rPr>
        <w:t xml:space="preserve">Об утверждении муниципальной программы Унинского муниципального округа Кировской области </w:t>
      </w:r>
      <w:r w:rsidR="00145144" w:rsidRPr="00FA543F">
        <w:rPr>
          <w:b/>
          <w:sz w:val="28"/>
          <w:szCs w:val="28"/>
        </w:rPr>
        <w:t>«Управление муниципальным имуществом</w:t>
      </w:r>
      <w:r w:rsidR="00BE7486">
        <w:rPr>
          <w:b/>
          <w:sz w:val="28"/>
          <w:szCs w:val="28"/>
        </w:rPr>
        <w:t xml:space="preserve"> 2022 - 202</w:t>
      </w:r>
      <w:r w:rsidR="00186CFB">
        <w:rPr>
          <w:b/>
          <w:sz w:val="28"/>
          <w:szCs w:val="28"/>
        </w:rPr>
        <w:t>4</w:t>
      </w:r>
      <w:r w:rsidR="007F0E66" w:rsidRPr="00FA543F">
        <w:rPr>
          <w:b/>
          <w:sz w:val="28"/>
          <w:szCs w:val="28"/>
        </w:rPr>
        <w:t xml:space="preserve"> годы</w:t>
      </w:r>
      <w:r w:rsidRPr="00FA543F">
        <w:rPr>
          <w:b/>
          <w:sz w:val="28"/>
          <w:szCs w:val="28"/>
        </w:rPr>
        <w:t>»</w:t>
      </w:r>
    </w:p>
    <w:p w:rsidR="00300FD8" w:rsidRPr="00937F69" w:rsidRDefault="00300FD8" w:rsidP="00300FD8">
      <w:pPr>
        <w:shd w:val="clear" w:color="auto" w:fill="FFFFFF"/>
        <w:jc w:val="center"/>
        <w:rPr>
          <w:b/>
          <w:sz w:val="48"/>
          <w:szCs w:val="28"/>
        </w:rPr>
      </w:pPr>
    </w:p>
    <w:p w:rsidR="007F0E66" w:rsidRDefault="00385878" w:rsidP="00385878">
      <w:pPr>
        <w:pStyle w:val="1"/>
        <w:ind w:firstLine="708"/>
        <w:jc w:val="both"/>
        <w:rPr>
          <w:szCs w:val="28"/>
        </w:rPr>
      </w:pPr>
      <w:proofErr w:type="gramStart"/>
      <w:r w:rsidRPr="00756B82">
        <w:rPr>
          <w:szCs w:val="28"/>
        </w:rPr>
        <w:t xml:space="preserve">В соответствии со статьей 179 Бюджетного кодекса РФ, </w:t>
      </w:r>
      <w:r w:rsidR="00756B82">
        <w:rPr>
          <w:szCs w:val="28"/>
        </w:rPr>
        <w:t>П</w:t>
      </w:r>
      <w:r w:rsidRPr="00756B82">
        <w:rPr>
          <w:szCs w:val="28"/>
        </w:rPr>
        <w:t xml:space="preserve">оложением о  бюджетном  процессе  в  муниципальном образовании  Унинский                    муниципальный </w:t>
      </w:r>
      <w:r w:rsidR="00756B82" w:rsidRPr="00756B82">
        <w:rPr>
          <w:szCs w:val="28"/>
        </w:rPr>
        <w:t>округ</w:t>
      </w:r>
      <w:r w:rsidRPr="00756B82">
        <w:rPr>
          <w:szCs w:val="28"/>
        </w:rPr>
        <w:t xml:space="preserve"> Кировской области, утвержденным решением </w:t>
      </w:r>
      <w:r w:rsidR="00756B82" w:rsidRPr="00756B82">
        <w:rPr>
          <w:szCs w:val="28"/>
        </w:rPr>
        <w:t>Думы Унинского муниципального округа</w:t>
      </w:r>
      <w:r w:rsidRPr="00756B82">
        <w:rPr>
          <w:szCs w:val="28"/>
        </w:rPr>
        <w:t xml:space="preserve"> от </w:t>
      </w:r>
      <w:r w:rsidR="00756B82" w:rsidRPr="00756B82">
        <w:rPr>
          <w:szCs w:val="28"/>
        </w:rPr>
        <w:t>0</w:t>
      </w:r>
      <w:r w:rsidRPr="00756B82">
        <w:rPr>
          <w:szCs w:val="28"/>
        </w:rPr>
        <w:t>9.</w:t>
      </w:r>
      <w:r w:rsidR="00756B82" w:rsidRPr="00756B82">
        <w:rPr>
          <w:szCs w:val="28"/>
        </w:rPr>
        <w:t>11</w:t>
      </w:r>
      <w:r w:rsidRPr="00756B82">
        <w:rPr>
          <w:szCs w:val="28"/>
        </w:rPr>
        <w:t>.20</w:t>
      </w:r>
      <w:r w:rsidR="00756B82" w:rsidRPr="00756B82">
        <w:rPr>
          <w:szCs w:val="28"/>
        </w:rPr>
        <w:t>21</w:t>
      </w:r>
      <w:r w:rsidRPr="00756B82">
        <w:rPr>
          <w:szCs w:val="28"/>
        </w:rPr>
        <w:t xml:space="preserve"> № </w:t>
      </w:r>
      <w:r w:rsidR="00756B82" w:rsidRPr="00756B82">
        <w:rPr>
          <w:szCs w:val="28"/>
        </w:rPr>
        <w:t>4/70</w:t>
      </w:r>
      <w:r w:rsidR="00756B82">
        <w:rPr>
          <w:szCs w:val="28"/>
        </w:rPr>
        <w:t xml:space="preserve">, </w:t>
      </w:r>
      <w:r w:rsidRPr="00410F48">
        <w:t xml:space="preserve">решением </w:t>
      </w:r>
      <w:r w:rsidR="00410F48">
        <w:t xml:space="preserve">Думы </w:t>
      </w:r>
      <w:r w:rsidRPr="00410F48">
        <w:t>Унинско</w:t>
      </w:r>
      <w:r w:rsidR="00410F48">
        <w:t>го</w:t>
      </w:r>
      <w:r w:rsidRPr="00410F48">
        <w:t xml:space="preserve"> </w:t>
      </w:r>
      <w:r w:rsidR="00410F48">
        <w:t>муниципального округа</w:t>
      </w:r>
      <w:r w:rsidR="002C1184" w:rsidRPr="00410F48">
        <w:t xml:space="preserve"> </w:t>
      </w:r>
      <w:r w:rsidRPr="00410F48">
        <w:t>от 1</w:t>
      </w:r>
      <w:r w:rsidR="00410F48">
        <w:t>7</w:t>
      </w:r>
      <w:r w:rsidRPr="00410F48">
        <w:t>.12.202</w:t>
      </w:r>
      <w:r w:rsidR="00410F48">
        <w:t>1</w:t>
      </w:r>
      <w:r w:rsidRPr="00410F48">
        <w:t xml:space="preserve"> № </w:t>
      </w:r>
      <w:r w:rsidR="00410F48">
        <w:t>6/86</w:t>
      </w:r>
      <w:r w:rsidRPr="00410F48">
        <w:t xml:space="preserve"> «О бюджете муниципального образования Унинский муниципальный </w:t>
      </w:r>
      <w:r w:rsidR="00410F48">
        <w:t>округ</w:t>
      </w:r>
      <w:r w:rsidRPr="00410F48">
        <w:t xml:space="preserve"> Кировской области на 202</w:t>
      </w:r>
      <w:r w:rsidR="00410F48">
        <w:t>2</w:t>
      </w:r>
      <w:r w:rsidRPr="00410F48">
        <w:t xml:space="preserve"> год и плановый период 202</w:t>
      </w:r>
      <w:r w:rsidR="00410F48">
        <w:t>3</w:t>
      </w:r>
      <w:r w:rsidRPr="00410F48">
        <w:t xml:space="preserve"> и 202</w:t>
      </w:r>
      <w:r w:rsidR="00410F48">
        <w:t>4</w:t>
      </w:r>
      <w:r w:rsidRPr="00410F48">
        <w:t xml:space="preserve"> годов»,</w:t>
      </w:r>
      <w:r w:rsidR="00756B82">
        <w:rPr>
          <w:szCs w:val="28"/>
        </w:rPr>
        <w:t xml:space="preserve"> </w:t>
      </w:r>
      <w:r w:rsidR="00551A87">
        <w:rPr>
          <w:szCs w:val="28"/>
        </w:rPr>
        <w:t>решением Думы</w:t>
      </w:r>
      <w:proofErr w:type="gramEnd"/>
      <w:r w:rsidR="00551A87">
        <w:rPr>
          <w:szCs w:val="28"/>
        </w:rPr>
        <w:t xml:space="preserve"> </w:t>
      </w:r>
      <w:proofErr w:type="gramStart"/>
      <w:r w:rsidR="00551A87">
        <w:rPr>
          <w:szCs w:val="28"/>
        </w:rPr>
        <w:t>Унинского муниципального округа от 19.12.2022 № 22/338 «О бюджете муниципального образования Унинский муниципальный округ Кировской области на 2023 год и плановый период на 2024-2025 годов»,</w:t>
      </w:r>
      <w:r w:rsidR="00516FA9">
        <w:rPr>
          <w:szCs w:val="28"/>
        </w:rPr>
        <w:t xml:space="preserve"> </w:t>
      </w:r>
      <w:r>
        <w:rPr>
          <w:szCs w:val="28"/>
        </w:rPr>
        <w:t>постановлением</w:t>
      </w:r>
      <w:r w:rsidR="007F0E66" w:rsidRPr="009E1B52">
        <w:rPr>
          <w:szCs w:val="28"/>
        </w:rPr>
        <w:t xml:space="preserve"> администрации Унинского района от </w:t>
      </w:r>
      <w:r w:rsidR="007F0E66">
        <w:t xml:space="preserve">30.07.2021 </w:t>
      </w:r>
      <w:r w:rsidR="007F0E66" w:rsidRPr="0062118A">
        <w:t xml:space="preserve">№ </w:t>
      </w:r>
      <w:r w:rsidR="007F0E66">
        <w:t>270</w:t>
      </w:r>
      <w:r w:rsidR="00756B82">
        <w:t xml:space="preserve"> </w:t>
      </w:r>
      <w:r w:rsidR="007F0E66" w:rsidRPr="0062118A">
        <w:t>«О разработке, реализации и</w:t>
      </w:r>
      <w:r w:rsidR="007F0E66" w:rsidRPr="0062118A">
        <w:rPr>
          <w:color w:val="FF0000"/>
        </w:rPr>
        <w:t xml:space="preserve"> </w:t>
      </w:r>
      <w:r w:rsidR="007F0E66" w:rsidRPr="0062118A">
        <w:t>оценке эффективности муниципальных программ муниципального образования Унинский   муници</w:t>
      </w:r>
      <w:r w:rsidR="007F0E66">
        <w:t xml:space="preserve">пальный округ  Кировской  </w:t>
      </w:r>
      <w:r w:rsidR="007F0E66" w:rsidRPr="0062118A">
        <w:t>области»</w:t>
      </w:r>
      <w:r>
        <w:rPr>
          <w:szCs w:val="28"/>
        </w:rPr>
        <w:t xml:space="preserve">, </w:t>
      </w:r>
      <w:r w:rsidR="007F0E66" w:rsidRPr="009E1B52">
        <w:rPr>
          <w:szCs w:val="28"/>
        </w:rPr>
        <w:t xml:space="preserve">администрация Унинского </w:t>
      </w:r>
      <w:r w:rsidR="007F0E66">
        <w:rPr>
          <w:szCs w:val="28"/>
        </w:rPr>
        <w:t xml:space="preserve">муниципального округа </w:t>
      </w:r>
      <w:r w:rsidR="007F0E66" w:rsidRPr="009E1B52">
        <w:rPr>
          <w:szCs w:val="28"/>
        </w:rPr>
        <w:t>ПОСТАНОВЛЯЕТ:</w:t>
      </w:r>
      <w:proofErr w:type="gramEnd"/>
    </w:p>
    <w:p w:rsidR="00BE7486" w:rsidRDefault="00BE7486" w:rsidP="00A009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«Управление му</w:t>
      </w:r>
      <w:r w:rsidR="008D1D36">
        <w:rPr>
          <w:sz w:val="28"/>
          <w:szCs w:val="28"/>
        </w:rPr>
        <w:t>ниципальным иму</w:t>
      </w:r>
      <w:r w:rsidR="00937F69">
        <w:rPr>
          <w:sz w:val="28"/>
          <w:szCs w:val="28"/>
        </w:rPr>
        <w:t>ществом</w:t>
      </w:r>
      <w:r>
        <w:rPr>
          <w:sz w:val="28"/>
          <w:szCs w:val="28"/>
        </w:rPr>
        <w:t>», утвержденную</w:t>
      </w:r>
      <w:r w:rsidR="008D1D36">
        <w:rPr>
          <w:sz w:val="28"/>
          <w:szCs w:val="28"/>
        </w:rPr>
        <w:t xml:space="preserve"> постановлением администрации Унинского района Кировской области от 30.11.2021 №</w:t>
      </w:r>
      <w:r w:rsidR="00186CFB">
        <w:rPr>
          <w:sz w:val="28"/>
          <w:szCs w:val="28"/>
        </w:rPr>
        <w:t xml:space="preserve"> </w:t>
      </w:r>
      <w:r w:rsidR="008D1D36">
        <w:rPr>
          <w:sz w:val="28"/>
          <w:szCs w:val="28"/>
        </w:rPr>
        <w:t>410,</w:t>
      </w:r>
      <w:r w:rsidR="00A904CD">
        <w:rPr>
          <w:sz w:val="28"/>
          <w:szCs w:val="28"/>
        </w:rPr>
        <w:t xml:space="preserve"> </w:t>
      </w:r>
      <w:r w:rsidR="008D1D36">
        <w:rPr>
          <w:sz w:val="28"/>
          <w:szCs w:val="28"/>
        </w:rPr>
        <w:t>изложив её в новой редакции согласно приложению.</w:t>
      </w:r>
    </w:p>
    <w:p w:rsidR="00937F69" w:rsidRDefault="00937F69" w:rsidP="00A009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сроки реализации муниципальной программы и установить их с 2022 по 2026 годы. </w:t>
      </w:r>
    </w:p>
    <w:p w:rsidR="00FD39CC" w:rsidRPr="00DC28A9" w:rsidRDefault="00937F69" w:rsidP="00FD39C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85878">
        <w:rPr>
          <w:sz w:val="28"/>
          <w:szCs w:val="28"/>
        </w:rPr>
        <w:t>.</w:t>
      </w:r>
      <w:r w:rsidR="008D1D36">
        <w:rPr>
          <w:sz w:val="28"/>
          <w:szCs w:val="28"/>
        </w:rPr>
        <w:t xml:space="preserve"> </w:t>
      </w:r>
      <w:r w:rsidR="00FD39CC" w:rsidRPr="00DC28A9">
        <w:rPr>
          <w:bCs/>
          <w:sz w:val="28"/>
          <w:szCs w:val="28"/>
        </w:rPr>
        <w:t xml:space="preserve">Настоящее постановление подлежит опубликованию в </w:t>
      </w:r>
      <w:r w:rsidR="00FF0FCA">
        <w:rPr>
          <w:bCs/>
          <w:sz w:val="28"/>
          <w:szCs w:val="28"/>
        </w:rPr>
        <w:t xml:space="preserve">             </w:t>
      </w:r>
      <w:r w:rsidR="00FD39CC" w:rsidRPr="00DC28A9">
        <w:rPr>
          <w:bCs/>
          <w:sz w:val="28"/>
          <w:szCs w:val="28"/>
        </w:rPr>
        <w:t xml:space="preserve">Информационном бюллетене органов местного самоуправления  Унинского </w:t>
      </w:r>
      <w:r w:rsidR="00FF0FCA">
        <w:rPr>
          <w:bCs/>
          <w:sz w:val="28"/>
          <w:szCs w:val="28"/>
        </w:rPr>
        <w:t xml:space="preserve">     </w:t>
      </w:r>
      <w:r w:rsidR="00FD39CC" w:rsidRPr="00DC28A9">
        <w:rPr>
          <w:bCs/>
          <w:sz w:val="28"/>
          <w:szCs w:val="28"/>
        </w:rPr>
        <w:lastRenderedPageBreak/>
        <w:t xml:space="preserve">муниципального округа  Кировской области и размещению на официальном </w:t>
      </w:r>
      <w:r w:rsidR="00FF0FCA">
        <w:rPr>
          <w:bCs/>
          <w:sz w:val="28"/>
          <w:szCs w:val="28"/>
        </w:rPr>
        <w:t xml:space="preserve">    </w:t>
      </w:r>
      <w:r w:rsidR="00FD39CC" w:rsidRPr="00DC28A9">
        <w:rPr>
          <w:bCs/>
          <w:sz w:val="28"/>
          <w:szCs w:val="28"/>
        </w:rPr>
        <w:t>сайте Унинского муниципального округа.</w:t>
      </w:r>
    </w:p>
    <w:p w:rsidR="00300FD8" w:rsidRPr="00937F69" w:rsidRDefault="00300FD8" w:rsidP="00300FD8">
      <w:pPr>
        <w:tabs>
          <w:tab w:val="left" w:pos="7513"/>
          <w:tab w:val="left" w:pos="7655"/>
        </w:tabs>
        <w:rPr>
          <w:sz w:val="72"/>
          <w:szCs w:val="28"/>
        </w:rPr>
      </w:pPr>
    </w:p>
    <w:p w:rsidR="00E65D2A" w:rsidRPr="00E65D2A" w:rsidRDefault="002A7B1B" w:rsidP="00E65D2A">
      <w:pPr>
        <w:jc w:val="both"/>
        <w:rPr>
          <w:sz w:val="28"/>
        </w:rPr>
      </w:pPr>
      <w:r>
        <w:rPr>
          <w:sz w:val="28"/>
        </w:rPr>
        <w:t>Г</w:t>
      </w:r>
      <w:r w:rsidR="00E65D2A" w:rsidRPr="00E65D2A">
        <w:rPr>
          <w:sz w:val="28"/>
        </w:rPr>
        <w:t>лав</w:t>
      </w:r>
      <w:r>
        <w:rPr>
          <w:sz w:val="28"/>
        </w:rPr>
        <w:t>а</w:t>
      </w:r>
      <w:r w:rsidR="00E65D2A" w:rsidRPr="00E65D2A">
        <w:rPr>
          <w:sz w:val="28"/>
        </w:rPr>
        <w:t xml:space="preserve"> Унинского </w:t>
      </w:r>
    </w:p>
    <w:p w:rsidR="006C2102" w:rsidRDefault="00E65D2A" w:rsidP="006C2102">
      <w:pPr>
        <w:jc w:val="both"/>
        <w:rPr>
          <w:sz w:val="28"/>
        </w:rPr>
      </w:pPr>
      <w:r w:rsidRPr="00E65D2A">
        <w:rPr>
          <w:sz w:val="28"/>
        </w:rPr>
        <w:t>муниципального округа</w:t>
      </w:r>
      <w:r w:rsidRPr="00E65D2A">
        <w:rPr>
          <w:sz w:val="28"/>
        </w:rPr>
        <w:tab/>
      </w:r>
      <w:r w:rsidRPr="00E65D2A">
        <w:rPr>
          <w:sz w:val="28"/>
        </w:rPr>
        <w:tab/>
      </w:r>
      <w:r w:rsidRPr="00E65D2A">
        <w:rPr>
          <w:sz w:val="28"/>
        </w:rPr>
        <w:tab/>
      </w:r>
      <w:r w:rsidRPr="00E65D2A">
        <w:rPr>
          <w:sz w:val="28"/>
        </w:rPr>
        <w:tab/>
      </w:r>
      <w:r w:rsidR="00FF0FCA">
        <w:rPr>
          <w:sz w:val="28"/>
        </w:rPr>
        <w:t xml:space="preserve">         </w:t>
      </w:r>
      <w:r w:rsidRPr="00E65D2A">
        <w:rPr>
          <w:sz w:val="28"/>
        </w:rPr>
        <w:t xml:space="preserve">   </w:t>
      </w:r>
      <w:r w:rsidR="00FF0FCA">
        <w:rPr>
          <w:sz w:val="28"/>
        </w:rPr>
        <w:t xml:space="preserve">        </w:t>
      </w:r>
      <w:r w:rsidRPr="00E65D2A">
        <w:rPr>
          <w:sz w:val="28"/>
        </w:rPr>
        <w:t xml:space="preserve"> </w:t>
      </w:r>
      <w:r w:rsidR="002A7B1B">
        <w:rPr>
          <w:sz w:val="28"/>
        </w:rPr>
        <w:t xml:space="preserve">  Т.Ф. Боровикова</w:t>
      </w:r>
    </w:p>
    <w:p w:rsidR="00ED525A" w:rsidRDefault="00ED525A" w:rsidP="006C2102">
      <w:pPr>
        <w:jc w:val="both"/>
        <w:rPr>
          <w:sz w:val="36"/>
          <w:szCs w:val="36"/>
        </w:rPr>
      </w:pPr>
      <w:r>
        <w:rPr>
          <w:sz w:val="28"/>
        </w:rPr>
        <w:t>________________________________________________________________</w:t>
      </w:r>
    </w:p>
    <w:p w:rsidR="00FA543F" w:rsidRDefault="00FA543F" w:rsidP="007F0E66">
      <w:pPr>
        <w:jc w:val="both"/>
        <w:rPr>
          <w:sz w:val="28"/>
          <w:szCs w:val="28"/>
        </w:rPr>
      </w:pPr>
    </w:p>
    <w:p w:rsidR="007F0E66" w:rsidRDefault="007F0E66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Default="00C8402C" w:rsidP="007F0E66">
      <w:pPr>
        <w:jc w:val="both"/>
        <w:rPr>
          <w:sz w:val="48"/>
          <w:szCs w:val="48"/>
        </w:rPr>
      </w:pPr>
    </w:p>
    <w:p w:rsidR="00C8402C" w:rsidRPr="00537849" w:rsidRDefault="00C8402C" w:rsidP="007F0E66">
      <w:pPr>
        <w:jc w:val="both"/>
        <w:rPr>
          <w:sz w:val="48"/>
          <w:szCs w:val="48"/>
        </w:rPr>
      </w:pPr>
    </w:p>
    <w:p w:rsidR="00C8402C" w:rsidRDefault="00C8402C" w:rsidP="00FA543F">
      <w:pPr>
        <w:jc w:val="both"/>
        <w:rPr>
          <w:sz w:val="24"/>
          <w:szCs w:val="24"/>
        </w:rPr>
      </w:pPr>
    </w:p>
    <w:p w:rsidR="00C8402C" w:rsidRDefault="006C2102" w:rsidP="00FA54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402C" w:rsidRPr="00C8402C" w:rsidRDefault="00C8402C" w:rsidP="00C8402C">
      <w:pPr>
        <w:jc w:val="center"/>
        <w:rPr>
          <w:rFonts w:eastAsia="Calibri"/>
          <w:sz w:val="28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4807"/>
      </w:tblGrid>
      <w:tr w:rsidR="00C8402C" w:rsidRPr="00C8402C" w:rsidTr="000F4464">
        <w:trPr>
          <w:trHeight w:val="1617"/>
          <w:jc w:val="center"/>
        </w:trPr>
        <w:tc>
          <w:tcPr>
            <w:tcW w:w="476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4807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8"/>
                <w:szCs w:val="24"/>
                <w:lang w:eastAsia="en-US"/>
              </w:rPr>
              <w:t>Приложение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8"/>
                <w:szCs w:val="24"/>
                <w:lang w:eastAsia="en-US"/>
              </w:rPr>
              <w:t>УТВЕРЖДЕНА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8"/>
                <w:szCs w:val="24"/>
                <w:lang w:eastAsia="en-US"/>
              </w:rPr>
              <w:t>постановлением администрации Унинского района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от 30.11.2021  № 410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  <w:proofErr w:type="gramStart"/>
            <w:r w:rsidRPr="00C8402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(в редакции постановления администрации Унинского муниципального округа </w:t>
            </w:r>
            <w:proofErr w:type="gramEnd"/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от  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30.12.2022</w:t>
            </w:r>
            <w:r w:rsidRPr="00C8402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750</w:t>
            </w:r>
            <w:bookmarkStart w:id="0" w:name="_GoBack"/>
            <w:bookmarkEnd w:id="0"/>
            <w:r w:rsidRPr="00C8402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)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eastAsia="en-US"/>
        </w:rPr>
      </w:pPr>
      <w:bookmarkStart w:id="1" w:name="Par33"/>
      <w:bookmarkEnd w:id="1"/>
      <w:r w:rsidRPr="00C8402C">
        <w:rPr>
          <w:rFonts w:eastAsia="Calibri"/>
          <w:sz w:val="28"/>
          <w:szCs w:val="24"/>
          <w:lang w:eastAsia="en-US"/>
        </w:rPr>
        <w:t xml:space="preserve">                                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4"/>
          <w:lang w:eastAsia="en-US"/>
        </w:rPr>
      </w:pPr>
      <w:r w:rsidRPr="00C8402C">
        <w:rPr>
          <w:rFonts w:eastAsia="Calibri"/>
          <w:b/>
          <w:bCs/>
          <w:sz w:val="28"/>
          <w:szCs w:val="24"/>
          <w:lang w:eastAsia="en-US"/>
        </w:rPr>
        <w:t>МУНИЦИПАЛЬНАЯ ПРОГРАММА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4"/>
          <w:lang w:eastAsia="en-US"/>
        </w:rPr>
      </w:pPr>
      <w:r w:rsidRPr="00C8402C">
        <w:rPr>
          <w:rFonts w:eastAsia="Calibri"/>
          <w:b/>
          <w:bCs/>
          <w:sz w:val="28"/>
          <w:szCs w:val="24"/>
          <w:lang w:eastAsia="en-US"/>
        </w:rPr>
        <w:t>УНИНСКОГО МУНИЦИПАЛЬНОГО ОКРУГА КИРОВСКОЙ ОБЛАСТИ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4"/>
          <w:lang w:eastAsia="en-US"/>
        </w:rPr>
      </w:pPr>
      <w:r w:rsidRPr="00C8402C">
        <w:rPr>
          <w:rFonts w:eastAsia="Calibri"/>
          <w:b/>
          <w:bCs/>
          <w:sz w:val="28"/>
          <w:szCs w:val="24"/>
          <w:lang w:eastAsia="en-US"/>
        </w:rPr>
        <w:t xml:space="preserve">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8402C">
        <w:rPr>
          <w:rFonts w:eastAsia="Calibri"/>
          <w:b/>
          <w:bCs/>
          <w:sz w:val="28"/>
          <w:szCs w:val="28"/>
          <w:lang w:eastAsia="en-US"/>
        </w:rPr>
        <w:t xml:space="preserve">«УПРАВЛЕНИЕ </w:t>
      </w:r>
      <w:proofErr w:type="gramStart"/>
      <w:r w:rsidRPr="00C8402C">
        <w:rPr>
          <w:rFonts w:eastAsia="Calibri"/>
          <w:b/>
          <w:bCs/>
          <w:sz w:val="28"/>
          <w:szCs w:val="28"/>
          <w:lang w:eastAsia="en-US"/>
        </w:rPr>
        <w:t>МУНИЦИПАЛЬНЫМ</w:t>
      </w:r>
      <w:proofErr w:type="gramEnd"/>
    </w:p>
    <w:p w:rsidR="00C8402C" w:rsidRPr="00C8402C" w:rsidRDefault="00C8402C" w:rsidP="00C84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8402C">
        <w:rPr>
          <w:rFonts w:eastAsia="Calibri"/>
          <w:b/>
          <w:bCs/>
          <w:sz w:val="28"/>
          <w:szCs w:val="28"/>
          <w:lang w:eastAsia="en-US"/>
        </w:rPr>
        <w:t xml:space="preserve">ИМУЩЕСТВОМ» НА 2022 - 2026 ГОДЫ   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  <w:bookmarkStart w:id="2" w:name="Par41"/>
      <w:bookmarkEnd w:id="2"/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  <w:proofErr w:type="spellStart"/>
      <w:r w:rsidRPr="00C8402C">
        <w:rPr>
          <w:rFonts w:eastAsia="Calibri"/>
          <w:sz w:val="28"/>
          <w:szCs w:val="24"/>
          <w:lang w:eastAsia="en-US"/>
        </w:rPr>
        <w:t>Уни</w:t>
      </w:r>
      <w:proofErr w:type="spellEnd"/>
      <w:r w:rsidRPr="00C8402C">
        <w:rPr>
          <w:rFonts w:eastAsia="Calibri"/>
          <w:sz w:val="28"/>
          <w:szCs w:val="24"/>
          <w:lang w:eastAsia="en-US"/>
        </w:rPr>
        <w:t xml:space="preserve">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4"/>
          <w:lang w:eastAsia="en-US"/>
        </w:rPr>
      </w:pPr>
      <w:r w:rsidRPr="00C8402C">
        <w:rPr>
          <w:rFonts w:eastAsia="Calibri"/>
          <w:sz w:val="28"/>
          <w:szCs w:val="24"/>
          <w:lang w:eastAsia="en-US"/>
        </w:rPr>
        <w:lastRenderedPageBreak/>
        <w:t>2022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bookmarkStart w:id="3" w:name="Par40"/>
      <w:bookmarkEnd w:id="3"/>
      <w:r w:rsidRPr="00C8402C">
        <w:rPr>
          <w:rFonts w:eastAsia="Calibri"/>
          <w:b/>
          <w:sz w:val="24"/>
          <w:szCs w:val="24"/>
          <w:lang w:eastAsia="en-US"/>
        </w:rPr>
        <w:br w:type="page"/>
      </w:r>
      <w:r w:rsidRPr="00C8402C">
        <w:rPr>
          <w:rFonts w:eastAsia="Calibri"/>
          <w:b/>
          <w:sz w:val="24"/>
          <w:szCs w:val="24"/>
          <w:lang w:eastAsia="en-US"/>
        </w:rPr>
        <w:lastRenderedPageBreak/>
        <w:t xml:space="preserve">Паспорт муниципальной программы Унинского муниципального округа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C8402C">
        <w:rPr>
          <w:rFonts w:eastAsia="Calibri"/>
          <w:b/>
          <w:sz w:val="24"/>
          <w:szCs w:val="24"/>
          <w:lang w:eastAsia="en-US"/>
        </w:rPr>
        <w:t>Кировской области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8402C">
        <w:rPr>
          <w:rFonts w:eastAsia="Calibri"/>
          <w:b/>
          <w:sz w:val="24"/>
          <w:szCs w:val="24"/>
          <w:lang w:eastAsia="en-US"/>
        </w:rPr>
        <w:t>«Управление муниципальным имуществом» на 2022 - 2026 годы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5931"/>
      </w:tblGrid>
      <w:tr w:rsidR="00C8402C" w:rsidRPr="00C8402C" w:rsidTr="000F4464">
        <w:trPr>
          <w:trHeight w:val="652"/>
        </w:trPr>
        <w:tc>
          <w:tcPr>
            <w:tcW w:w="379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Администрация Унинского муниципального округа Кировской области</w:t>
            </w:r>
          </w:p>
        </w:tc>
      </w:tr>
      <w:tr w:rsidR="00C8402C" w:rsidRPr="00C8402C" w:rsidTr="000F4464">
        <w:trPr>
          <w:trHeight w:val="1115"/>
        </w:trPr>
        <w:tc>
          <w:tcPr>
            <w:tcW w:w="379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имущества, улучшение нормативно-технического состояния муниципальных объектов</w:t>
            </w:r>
          </w:p>
        </w:tc>
      </w:tr>
      <w:tr w:rsidR="00C8402C" w:rsidRPr="00C8402C" w:rsidTr="000F4464">
        <w:trPr>
          <w:trHeight w:val="415"/>
        </w:trPr>
        <w:tc>
          <w:tcPr>
            <w:tcW w:w="379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- повышение эффективности управления муниципальной собственностью путем оптимизации состава муниципального имущества, муниципальных предприятий для эффективной реализации управленческих функций органов местного самоуправления.</w:t>
            </w:r>
          </w:p>
          <w:p w:rsidR="00C8402C" w:rsidRPr="00C8402C" w:rsidRDefault="00C8402C" w:rsidP="00C8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- совершенствование системы учета муниципального имущества округа.</w:t>
            </w:r>
          </w:p>
          <w:p w:rsidR="00C8402C" w:rsidRPr="00C8402C" w:rsidRDefault="00C8402C" w:rsidP="00C8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- обеспечение качественного роста неналоговых доходов бюджета округа за счет эффективного использования муниципального имущества.</w:t>
            </w:r>
          </w:p>
          <w:p w:rsidR="00C8402C" w:rsidRPr="00C8402C" w:rsidRDefault="00C8402C" w:rsidP="00C8402C">
            <w:pPr>
              <w:shd w:val="clear" w:color="auto" w:fill="FFFFFF"/>
              <w:tabs>
                <w:tab w:val="left" w:pos="115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- получение доходов от использования муниципального имущества.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-  обеспечение соответствия технического состояния объектов муниципальной собственности строительным и техническим нормам и правилам.</w:t>
            </w:r>
          </w:p>
        </w:tc>
      </w:tr>
      <w:tr w:rsidR="00C8402C" w:rsidRPr="00C8402C" w:rsidTr="000F4464">
        <w:trPr>
          <w:trHeight w:val="415"/>
        </w:trPr>
        <w:tc>
          <w:tcPr>
            <w:tcW w:w="379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5953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- поступление в бюджет округа доходов от управления и распоряжения муниципальным имуществом и земельными ресурсами;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- количество проверок эффективного и целевого использования муниципального имущества;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- количество вовлеченных в хозяйственный оборот земельных участков;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- количество муниципальных унитарных предприятий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- размер финансовых средств, затраченных на содержание (приобретение) имущества</w:t>
            </w:r>
          </w:p>
        </w:tc>
      </w:tr>
      <w:tr w:rsidR="00C8402C" w:rsidRPr="00C8402C" w:rsidTr="000F4464">
        <w:trPr>
          <w:trHeight w:val="415"/>
        </w:trPr>
        <w:tc>
          <w:tcPr>
            <w:tcW w:w="379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2022-2026 годы.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Разделение реализации муниципальной программы на этапы не предусматривается</w:t>
            </w:r>
          </w:p>
        </w:tc>
      </w:tr>
      <w:tr w:rsidR="00C8402C" w:rsidRPr="00C8402C" w:rsidTr="000F4464">
        <w:trPr>
          <w:trHeight w:val="415"/>
        </w:trPr>
        <w:tc>
          <w:tcPr>
            <w:tcW w:w="379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общий объем ассигнований муниципальной программы: 6873,57 тыс. руб., в том числе за счет средств областного бюджета 2475,84 тыс. руб., бюджета Унинского муниципального округа – 4397,73 тыс. руб.</w:t>
            </w:r>
          </w:p>
        </w:tc>
      </w:tr>
    </w:tbl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63"/>
      <w:bookmarkEnd w:id="4"/>
      <w:r w:rsidRPr="00C8402C">
        <w:rPr>
          <w:b/>
          <w:sz w:val="24"/>
          <w:szCs w:val="24"/>
        </w:rPr>
        <w:br w:type="page"/>
      </w:r>
      <w:r w:rsidRPr="00C8402C">
        <w:rPr>
          <w:b/>
          <w:sz w:val="24"/>
          <w:szCs w:val="24"/>
        </w:rPr>
        <w:lastRenderedPageBreak/>
        <w:t>1. Общая характеристика сферы реализации муниципальной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8402C">
        <w:rPr>
          <w:rFonts w:eastAsia="Calibri"/>
          <w:b/>
          <w:sz w:val="24"/>
          <w:szCs w:val="24"/>
          <w:lang w:eastAsia="en-US"/>
        </w:rPr>
        <w:t>программы, в том числе формулировки основных проблем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8402C">
        <w:rPr>
          <w:rFonts w:eastAsia="Calibri"/>
          <w:b/>
          <w:sz w:val="24"/>
          <w:szCs w:val="24"/>
          <w:lang w:eastAsia="en-US"/>
        </w:rPr>
        <w:t>в указанной сфере и прогноз ее развития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По состоянию на 01.10.2022, муниципальное  имущество Унинского муниципального округа Кировской области представлено: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4 муниципальными унитарными предприятиями, из которых 3 предприятия (МУП «</w:t>
      </w:r>
      <w:proofErr w:type="spellStart"/>
      <w:r w:rsidRPr="00C8402C">
        <w:rPr>
          <w:rFonts w:eastAsia="Calibri"/>
          <w:sz w:val="24"/>
          <w:szCs w:val="24"/>
          <w:lang w:eastAsia="en-US"/>
        </w:rPr>
        <w:t>Унинская</w:t>
      </w:r>
      <w:proofErr w:type="spellEnd"/>
      <w:r w:rsidRPr="00C8402C">
        <w:rPr>
          <w:rFonts w:eastAsia="Calibri"/>
          <w:sz w:val="24"/>
          <w:szCs w:val="24"/>
          <w:lang w:eastAsia="en-US"/>
        </w:rPr>
        <w:t xml:space="preserve"> МТС», МУП «</w:t>
      </w:r>
      <w:proofErr w:type="spellStart"/>
      <w:r w:rsidRPr="00C8402C">
        <w:rPr>
          <w:rFonts w:eastAsia="Calibri"/>
          <w:sz w:val="24"/>
          <w:szCs w:val="24"/>
          <w:lang w:eastAsia="en-US"/>
        </w:rPr>
        <w:t>УниОхота</w:t>
      </w:r>
      <w:proofErr w:type="spellEnd"/>
      <w:r w:rsidRPr="00C8402C">
        <w:rPr>
          <w:rFonts w:eastAsia="Calibri"/>
          <w:sz w:val="24"/>
          <w:szCs w:val="24"/>
          <w:lang w:eastAsia="en-US"/>
        </w:rPr>
        <w:t>, МУП «Чуваши») действующие, 1 находится в стадии    банкротства («МУП «Движение»);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26 муниципальными учреждениями;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1 хозяйственным обществом;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1647 объектами недвижимого имущества в казне Унинского муниципального округа Кировской области;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169 земельными участками общей площадью 7881,6  гектаров.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54 объекта недвижимого имущества общей площадью 33183,7 кв. метра закреплены на праве оперативного управления за муниципальными учреждениями.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16 объектов недвижимого имущества общей площадью 3 322,80 кв. метров закреплены на праве хозяйственного ведения за муниципальными предприятиями;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действуют 2489 договоров  аренды земельных участков, собственность на которые не разграничена, 150 земельных участков переданы на праве постоянного (бессрочного) пользования;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действует 22 договора  аренды муниципального  недвижимого имущества общей площадью 2486,62 кв. метров;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действуют 25 договоров безвозмездного пользования муниципальным недвижимым имуществом общей площадью 3855,85 кв. метров;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Основными направлениями использования муниципального имущества являются: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передача в оперативное управление муниципальным учреждениям;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передача в хозяйственное ведение муниципальным унитарным предприятиям;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передача в аренду;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передача в безвозмездное пользование;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передача в залог;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передача в собственность, в том числе передача в Федеральную собственность, собственность Кировской области в соответствии с выполняемыми полномочиями, передача в собственность иных лиц (приватизация);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Учет муниципального имущества Унинского  муниципального округа Кировской области и ведение его реестра осуществляются отделом по управлению муниципальной собственностью администрации Унинского муниципального округа Кировской области  в электронной форме и на бумажных носителях.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Необходимо отметить, что в сфере управления и распоряжения муниципальной собственностью Унинского муниципального округа Кировской области имеется ряд проблем, которые необходимо решить в ближайшей перспективе: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1.1. Отсутствие технической документации на большую часть объектов недвижимого имущества муниципального образования Унинский муниципальный округ Кировской области. </w:t>
      </w:r>
      <w:proofErr w:type="gramStart"/>
      <w:r w:rsidRPr="00C8402C">
        <w:rPr>
          <w:rFonts w:eastAsia="Calibri"/>
          <w:sz w:val="24"/>
          <w:szCs w:val="24"/>
          <w:lang w:eastAsia="en-US"/>
        </w:rPr>
        <w:t xml:space="preserve">Данное обстоятельство сдерживает процессы по государственной регистрации прав собственности Унинского муниципального округа Кировской области (хозяйственного ведения, оперативного управления) на объекты недвижимого имущества, </w:t>
      </w:r>
      <w:r w:rsidRPr="00C8402C">
        <w:rPr>
          <w:rFonts w:eastAsia="Calibri"/>
          <w:sz w:val="24"/>
          <w:szCs w:val="24"/>
          <w:lang w:eastAsia="en-US"/>
        </w:rPr>
        <w:lastRenderedPageBreak/>
        <w:t>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между Кировской областью, Российской Федерацией и органами местного самоуправления.</w:t>
      </w:r>
      <w:proofErr w:type="gramEnd"/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По состоянию на 01.10.2022 проведена техническая инвентаризация 1183 объекта недвижимого имущества (100%  от их общего количества), на 332 объекта (32,7%) зарегистрированы права (муниципальной собственности, хозяйственного ведения либо оперативного управления).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В целях решения этой проблемы </w:t>
      </w:r>
      <w:hyperlink r:id="rId10" w:history="1">
        <w:r w:rsidRPr="00C8402C">
          <w:rPr>
            <w:rFonts w:eastAsia="Calibri"/>
            <w:sz w:val="24"/>
            <w:szCs w:val="24"/>
            <w:lang w:eastAsia="en-US"/>
          </w:rPr>
          <w:t>Программой</w:t>
        </w:r>
      </w:hyperlink>
      <w:r w:rsidRPr="00C8402C">
        <w:rPr>
          <w:rFonts w:eastAsia="Calibri"/>
          <w:sz w:val="24"/>
          <w:szCs w:val="24"/>
          <w:lang w:eastAsia="en-US"/>
        </w:rPr>
        <w:t xml:space="preserve"> предусмотрено мероприятие по технической инвентаризации объектов недвижимого имущества и оформлению прав на них. Ожидаемые результаты выполнения мероприятия: проведение технической инвентаризации муниципального имущества от общего количества объектов имущества:  в 2022-2026 годах - 100% и проведение государственной регистрации права от общего количества объектов имущества: в 2022 году - 54%, в 2023 году - 56%, в 2024 году - 60%, в 2025 году – 62%, в 2026 году – 64%.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1.2. Неэффективное использование отдельных объектов муниципальной собственности. По состоянию на 01.10.2022 1647 объектов недвижимого имущества находятся в казне муниципального образования, часть из этих объектов не используется в настоящее время и не планируется к использованию для нужд Унинского муниципального округа. В отношении таких объектов требуется принятие решений о приватизации, либо списании, либо использования их для решения вопросов местного значения.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1.3. Несмотря на кризисные явления в экономике региона на протяжении последних лет, доходы местного бюджета от управления муниципальным имуществом остаются достаточно стабильными. 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8402C">
        <w:rPr>
          <w:sz w:val="24"/>
          <w:szCs w:val="24"/>
        </w:rPr>
        <w:t xml:space="preserve">В совокупности </w:t>
      </w:r>
      <w:r w:rsidRPr="00C8402C">
        <w:rPr>
          <w:b/>
          <w:sz w:val="24"/>
          <w:szCs w:val="24"/>
        </w:rPr>
        <w:t>доходы бюджета района от использования муниципальной собственности</w:t>
      </w:r>
      <w:r w:rsidRPr="00C8402C">
        <w:rPr>
          <w:sz w:val="24"/>
          <w:szCs w:val="24"/>
        </w:rPr>
        <w:t xml:space="preserve">  составили в    2019 г.  – 2164,61 тыс. руб.,  2020  г. – 2125,59  тыс. руб.,  2021 г.- 2133,78 тыс. руб., 2022- 4720,63 тыс. руб., прогноз на 2023г.- 4408,83 тыс. руб., 2024- 4504,38 тыс. руб.,  2025 – 4544,03 тыс. руб., 2026 – 4587,78 тыс. руб.</w:t>
      </w:r>
      <w:proofErr w:type="gramEnd"/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Нестабильность доходов обусловлена рядом следующих объективных факторов: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- является отказ от земельных участков, в связи с резким повышением кадастровой стоимости земельных участков, который привел к снижению базы аренды. 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- нестабильное финансовое состояние арендаторов.  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- переход  муниципального района в муниципальный округ.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Планируемые задания по доходам от аренды имущества сформированы на основании имеющихся данных и в сравнении с предыдущими годами.  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В целом, несмотря на наличие объективных причин, способствующих снижению абсолютных величин доходов местного бюджета от использования и продажи муниципального имущества, управлением проводится работа по повышению эффективности управления имеющимся муниципальным имуществом, что позволяет частично компенсировать снижение доходов, обеспечить их рост по отдельным направлениям.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В целях решения этой проблемы планируется увеличить эффективность использования муниципального имущества.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1.4. Наличие в структуре муниципальной  собственности района  значительного количества муниципальных унитарных предприятий.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Общепризнанным фактом является то, что положительной считается динамика изменения количества  муниципальных унитарных предприятий в сторону снижения. Именно на это направлена политика Правительства Российской Федерации. Динамика изменения </w:t>
      </w:r>
      <w:r w:rsidRPr="00C8402C">
        <w:rPr>
          <w:rFonts w:eastAsia="Calibri"/>
          <w:sz w:val="24"/>
          <w:szCs w:val="24"/>
          <w:lang w:eastAsia="en-US"/>
        </w:rPr>
        <w:lastRenderedPageBreak/>
        <w:t>количества муниципальных унитарных предприятий данной политике соответствует в полной мере.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Динамика изменения количества муниципальных унитарных предприятий </w:t>
      </w:r>
      <w:proofErr w:type="gramStart"/>
      <w:r w:rsidRPr="00C8402C">
        <w:rPr>
          <w:rFonts w:eastAsia="Calibri"/>
          <w:sz w:val="24"/>
          <w:szCs w:val="24"/>
          <w:lang w:eastAsia="en-US"/>
        </w:rPr>
        <w:t>начиная с 2019 года выглядит следующим образом</w:t>
      </w:r>
      <w:proofErr w:type="gramEnd"/>
      <w:r w:rsidRPr="00C8402C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Pr="00C8402C">
          <w:rPr>
            <w:rFonts w:eastAsia="Calibri"/>
            <w:sz w:val="24"/>
            <w:szCs w:val="24"/>
            <w:lang w:eastAsia="en-US"/>
          </w:rPr>
          <w:t>(таблица 1)</w:t>
        </w:r>
      </w:hyperlink>
      <w:r w:rsidRPr="00C8402C">
        <w:rPr>
          <w:rFonts w:eastAsia="Calibri"/>
          <w:sz w:val="24"/>
          <w:szCs w:val="24"/>
          <w:lang w:eastAsia="en-US"/>
        </w:rPr>
        <w:t>:</w:t>
      </w:r>
    </w:p>
    <w:p w:rsidR="00C8402C" w:rsidRPr="00C8402C" w:rsidRDefault="00C8402C" w:rsidP="00C8402C">
      <w:pPr>
        <w:autoSpaceDE w:val="0"/>
        <w:autoSpaceDN w:val="0"/>
        <w:adjustRightInd w:val="0"/>
        <w:jc w:val="right"/>
        <w:outlineLvl w:val="3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  Таблица 1</w:t>
      </w:r>
    </w:p>
    <w:tbl>
      <w:tblPr>
        <w:tblW w:w="9367" w:type="dxa"/>
        <w:jc w:val="center"/>
        <w:tblInd w:w="-8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3"/>
        <w:gridCol w:w="740"/>
        <w:gridCol w:w="740"/>
        <w:gridCol w:w="740"/>
        <w:gridCol w:w="740"/>
        <w:gridCol w:w="1110"/>
        <w:gridCol w:w="1111"/>
        <w:gridCol w:w="7"/>
        <w:gridCol w:w="1197"/>
        <w:gridCol w:w="23"/>
        <w:gridCol w:w="1110"/>
      </w:tblGrid>
      <w:tr w:rsidR="00C8402C" w:rsidRPr="00C8402C" w:rsidTr="000F4464">
        <w:trPr>
          <w:cantSplit/>
          <w:trHeight w:val="1357"/>
          <w:jc w:val="center"/>
        </w:trPr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Муниципальные   </w:t>
            </w:r>
            <w:r w:rsidRPr="00C8402C">
              <w:rPr>
                <w:sz w:val="24"/>
                <w:szCs w:val="24"/>
              </w:rPr>
              <w:br/>
              <w:t xml:space="preserve">унитарные     предприятия 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На    </w:t>
            </w:r>
            <w:r w:rsidRPr="00C8402C">
              <w:rPr>
                <w:sz w:val="24"/>
                <w:szCs w:val="24"/>
              </w:rPr>
              <w:br/>
              <w:t>01.01.</w:t>
            </w:r>
          </w:p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2019</w:t>
            </w:r>
            <w:r w:rsidRPr="00C8402C">
              <w:rPr>
                <w:sz w:val="24"/>
                <w:szCs w:val="24"/>
              </w:rPr>
              <w:br/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На    </w:t>
            </w:r>
            <w:r w:rsidRPr="00C8402C">
              <w:rPr>
                <w:sz w:val="24"/>
                <w:szCs w:val="24"/>
              </w:rPr>
              <w:br/>
              <w:t>01.01.</w:t>
            </w:r>
          </w:p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На    </w:t>
            </w:r>
            <w:r w:rsidRPr="00C8402C">
              <w:rPr>
                <w:sz w:val="24"/>
                <w:szCs w:val="24"/>
              </w:rPr>
              <w:br/>
              <w:t>01.01.</w:t>
            </w:r>
          </w:p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2021</w:t>
            </w:r>
            <w:r w:rsidRPr="00C8402C">
              <w:rPr>
                <w:sz w:val="24"/>
                <w:szCs w:val="24"/>
              </w:rPr>
              <w:br/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На    </w:t>
            </w:r>
            <w:r w:rsidRPr="00C8402C">
              <w:rPr>
                <w:sz w:val="24"/>
                <w:szCs w:val="24"/>
              </w:rPr>
              <w:br/>
              <w:t>01.01.</w:t>
            </w:r>
          </w:p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2022</w:t>
            </w:r>
            <w:r w:rsidRPr="00C8402C">
              <w:rPr>
                <w:sz w:val="24"/>
                <w:szCs w:val="24"/>
              </w:rPr>
              <w:br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На    </w:t>
            </w:r>
            <w:r w:rsidRPr="00C8402C">
              <w:rPr>
                <w:sz w:val="24"/>
                <w:szCs w:val="24"/>
              </w:rPr>
              <w:br/>
              <w:t>01.01.</w:t>
            </w:r>
          </w:p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2023</w:t>
            </w:r>
            <w:r w:rsidRPr="00C8402C">
              <w:rPr>
                <w:sz w:val="24"/>
                <w:szCs w:val="24"/>
              </w:rPr>
              <w:br/>
              <w:t>(прогноз)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На    </w:t>
            </w:r>
            <w:r w:rsidRPr="00C8402C">
              <w:rPr>
                <w:sz w:val="24"/>
                <w:szCs w:val="24"/>
              </w:rPr>
              <w:br/>
              <w:t>01.01.</w:t>
            </w:r>
          </w:p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2024</w:t>
            </w:r>
            <w:r w:rsidRPr="00C8402C">
              <w:rPr>
                <w:sz w:val="24"/>
                <w:szCs w:val="24"/>
              </w:rPr>
              <w:br/>
              <w:t>(прогноз)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На 01.01.2025 (прогноз)</w:t>
            </w:r>
          </w:p>
          <w:p w:rsidR="00C8402C" w:rsidRPr="00C8402C" w:rsidRDefault="00C8402C" w:rsidP="00C8402C">
            <w:pPr>
              <w:rPr>
                <w:sz w:val="24"/>
                <w:szCs w:val="24"/>
              </w:rPr>
            </w:pPr>
          </w:p>
          <w:p w:rsidR="00C8402C" w:rsidRPr="00C8402C" w:rsidRDefault="00C8402C" w:rsidP="00C8402C">
            <w:pPr>
              <w:rPr>
                <w:sz w:val="24"/>
                <w:szCs w:val="24"/>
              </w:rPr>
            </w:pPr>
          </w:p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На 01.01.</w:t>
            </w:r>
          </w:p>
          <w:p w:rsidR="00C8402C" w:rsidRPr="00C8402C" w:rsidRDefault="00C8402C" w:rsidP="00C840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  <w:p w:rsidR="00C8402C" w:rsidRPr="00C8402C" w:rsidRDefault="00C8402C" w:rsidP="00C840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(прогноз)</w:t>
            </w:r>
          </w:p>
        </w:tc>
      </w:tr>
      <w:tr w:rsidR="00C8402C" w:rsidRPr="00C8402C" w:rsidTr="000F4464">
        <w:trPr>
          <w:cantSplit/>
          <w:trHeight w:val="285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Всего,            </w:t>
            </w:r>
            <w:r w:rsidRPr="00C8402C">
              <w:rPr>
                <w:sz w:val="24"/>
                <w:szCs w:val="24"/>
              </w:rPr>
              <w:br/>
              <w:t xml:space="preserve">из них:           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8402C" w:rsidRPr="00C8402C" w:rsidTr="000F4464">
        <w:trPr>
          <w:cantSplit/>
          <w:trHeight w:val="243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действующие       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8402C" w:rsidRPr="00C8402C" w:rsidTr="000F4464">
        <w:trPr>
          <w:cantSplit/>
          <w:trHeight w:val="190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в банкротстве     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8402C" w:rsidRPr="00C8402C" w:rsidTr="000F4464">
        <w:trPr>
          <w:cantSplit/>
          <w:trHeight w:val="380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в           стадии ликвидации   и реорганизации     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8402C" w:rsidRPr="00C8402C" w:rsidTr="000F4464">
        <w:trPr>
          <w:cantSplit/>
          <w:trHeight w:val="380"/>
          <w:jc w:val="center"/>
        </w:trPr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 xml:space="preserve">не           ведут хозяйственную     </w:t>
            </w:r>
            <w:r w:rsidRPr="00C8402C">
              <w:rPr>
                <w:sz w:val="24"/>
                <w:szCs w:val="24"/>
              </w:rPr>
              <w:br/>
              <w:t xml:space="preserve">деятельность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02C" w:rsidRPr="00C8402C" w:rsidRDefault="00C8402C" w:rsidP="00C84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02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Тем не менее, на сегодняшний день в </w:t>
      </w:r>
      <w:proofErr w:type="spellStart"/>
      <w:r w:rsidRPr="00C8402C">
        <w:rPr>
          <w:rFonts w:eastAsia="Calibri"/>
          <w:sz w:val="24"/>
          <w:szCs w:val="24"/>
          <w:lang w:eastAsia="en-US"/>
        </w:rPr>
        <w:t>Унинском</w:t>
      </w:r>
      <w:proofErr w:type="spellEnd"/>
      <w:r w:rsidRPr="00C8402C">
        <w:rPr>
          <w:rFonts w:eastAsia="Calibri"/>
          <w:sz w:val="24"/>
          <w:szCs w:val="24"/>
          <w:lang w:eastAsia="en-US"/>
        </w:rPr>
        <w:t xml:space="preserve"> муниципальном округе  сохраняется достаточное количество унитарных предприятий по сравнению с иными муниципальными образованиями Кировской области.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В целях решения этой проблемы планируется дальнейшее сокращение количества муниципальных унитарных предприятий путем их реорганизации, ликвидации.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bookmarkStart w:id="5" w:name="Par246"/>
      <w:bookmarkEnd w:id="5"/>
      <w:r w:rsidRPr="00C8402C">
        <w:rPr>
          <w:rFonts w:eastAsia="Calibri"/>
          <w:b/>
          <w:sz w:val="24"/>
          <w:szCs w:val="24"/>
          <w:lang w:eastAsia="en-US"/>
        </w:rPr>
        <w:t xml:space="preserve">2. Приоритеты муниципальной политики </w:t>
      </w:r>
      <w:proofErr w:type="gramStart"/>
      <w:r w:rsidRPr="00C8402C">
        <w:rPr>
          <w:rFonts w:eastAsia="Calibri"/>
          <w:b/>
          <w:sz w:val="24"/>
          <w:szCs w:val="24"/>
          <w:lang w:eastAsia="en-US"/>
        </w:rPr>
        <w:t>в</w:t>
      </w:r>
      <w:proofErr w:type="gramEnd"/>
      <w:r w:rsidRPr="00C8402C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8402C">
        <w:rPr>
          <w:rFonts w:eastAsia="Calibri"/>
          <w:b/>
          <w:sz w:val="24"/>
          <w:szCs w:val="24"/>
          <w:lang w:eastAsia="en-US"/>
        </w:rPr>
        <w:t>сфере реализации муниципальной программы,  цели, задачи, целевые показатели эффективности реализации Муниципальной программы, сроки реализации Муниципальной  программы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Положением об управлении имуществом муниципального образования Унинский муниципальный округ Кировской области, утвержденным решением  Думы Унинского муниципального округа Кировской области от 17.12.2021 № 6/96  предусмотрены цели управления муниципальным имуществом Унинского муниципального округа Кировской области: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оптимизация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органами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максимизация неналоговых доходов бюджета на основе эффективного управления муниципальной собственностью.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Целями Муниципальной программы являются:</w:t>
      </w:r>
    </w:p>
    <w:p w:rsidR="00C8402C" w:rsidRPr="00C8402C" w:rsidRDefault="00C8402C" w:rsidP="00C8402C">
      <w:pPr>
        <w:shd w:val="clear" w:color="auto" w:fill="FFFFFF"/>
        <w:tabs>
          <w:tab w:val="left" w:pos="567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lastRenderedPageBreak/>
        <w:t>Обеспечение эффективного управления, распоряжения, а также рационального использования муниципального имущества, улучшение нормативно-технического состояния муниципальных объектов.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Достижение поставленных целей возможно при условии решения следующих задач: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262"/>
      <w:bookmarkEnd w:id="6"/>
      <w:r w:rsidRPr="00C8402C">
        <w:rPr>
          <w:sz w:val="24"/>
          <w:szCs w:val="24"/>
        </w:rPr>
        <w:t>- повышение эффективности управления муниципальной собственностью путем оптимизации состава муниципального имущества, муниципальных предприятий для эффективной реализации управленческих функций органов местного самоуправления.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402C">
        <w:rPr>
          <w:sz w:val="24"/>
          <w:szCs w:val="24"/>
        </w:rPr>
        <w:t>- совершенствование системы учета муниципального имущества округа.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402C">
        <w:rPr>
          <w:sz w:val="24"/>
          <w:szCs w:val="24"/>
        </w:rPr>
        <w:t>- обеспечение качественного роста неналоговых доходов бюджета округа за счет эффективного использования муниципального имущества.</w:t>
      </w:r>
    </w:p>
    <w:p w:rsidR="00C8402C" w:rsidRPr="00C8402C" w:rsidRDefault="00C8402C" w:rsidP="00C8402C">
      <w:pPr>
        <w:shd w:val="clear" w:color="auto" w:fill="FFFFFF"/>
        <w:tabs>
          <w:tab w:val="left" w:pos="1157"/>
        </w:tabs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- получение доходов от использования муниципального имущества.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-  обеспечение соответствия технического состояния объектов муниципальной собственности строительным и техническим нормам и правилам.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Целевые </w:t>
      </w:r>
      <w:hyperlink w:anchor="Par428" w:history="1">
        <w:r w:rsidRPr="00C8402C">
          <w:rPr>
            <w:rFonts w:eastAsia="Calibri"/>
            <w:sz w:val="24"/>
            <w:szCs w:val="24"/>
            <w:lang w:eastAsia="en-US"/>
          </w:rPr>
          <w:t>показатели</w:t>
        </w:r>
      </w:hyperlink>
      <w:r w:rsidRPr="00C8402C">
        <w:rPr>
          <w:rFonts w:eastAsia="Calibri"/>
          <w:sz w:val="24"/>
          <w:szCs w:val="24"/>
          <w:lang w:eastAsia="en-US"/>
        </w:rPr>
        <w:t xml:space="preserve"> эффективности реализации Муниципальной программы приведены в приложении № 1.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Основными ожидаемыми результатами Муниципальной программы в качественном выражении должны стать: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снижение количества муниципальных унитарных предприятий до 0 единиц. Положительной является динамика снижения количества муниципальных унитарных предприятий;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увеличение доли муниципальных учреждений и муниципальных унитарных предприятий, в отношении которых проведены проверки использования муниципального имущества Унинского района, в общем числе муниципальных учреждений и муниципальных унитарных предприятий (доли муниципальных учреждений, ежегодно охваченных проверками) до 7 единиц. Положительной является динамика увеличения количества организаций, в которых проведены проверки;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увеличение поступлений в бюджет района доходов от управления и распоряжения муниципальным имуществом Унинского муниципального округа  до 4587,78 тыс. рублей в год. В разрезе доходных источников Приложение № 2;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увеличение количества земельных участков, вовлеченных в хозяйственный оборот до 10  в год.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Увеличение суммы финансовых средств, затраченных на содержание (приобретение) муниципального имущества до 1400,1 тыс. рублей.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Срок реализации  программы - 2022 - 2026 годы. Деление реализации Муниципальной программы на этапы не предусматривается.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bookmarkStart w:id="7" w:name="Par326"/>
      <w:bookmarkEnd w:id="7"/>
      <w:r w:rsidRPr="00C8402C">
        <w:rPr>
          <w:rFonts w:eastAsia="Calibri"/>
          <w:sz w:val="24"/>
          <w:szCs w:val="24"/>
          <w:lang w:eastAsia="en-US"/>
        </w:rPr>
        <w:t>3. Обобщенная характеристика мероприятий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Муниципальной программы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3.1. Путями реализации данной Программы будут осуществляться отдельные мероприятия: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- «Повышение эффективности управления муниципальной собственностью Унинского района, направленное на повышение эффективности управления муниципальной собственностью Унинского муниципального округа.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В рамках этого мероприятия будет реализовываться: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8402C">
        <w:rPr>
          <w:sz w:val="24"/>
          <w:szCs w:val="24"/>
        </w:rPr>
        <w:t>Совершенствование системы управления  муниципальными унитарными предприятиями, муниципальными учреждениями, повышение эффективности  использования закрепленного за ними имущества;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8402C">
        <w:rPr>
          <w:sz w:val="24"/>
          <w:szCs w:val="24"/>
        </w:rPr>
        <w:lastRenderedPageBreak/>
        <w:t xml:space="preserve">Повышение </w:t>
      </w:r>
      <w:proofErr w:type="gramStart"/>
      <w:r w:rsidRPr="00C8402C">
        <w:rPr>
          <w:sz w:val="24"/>
          <w:szCs w:val="24"/>
        </w:rPr>
        <w:t>эффективности использования отдельных объектов имущества муниципального округа</w:t>
      </w:r>
      <w:proofErr w:type="gramEnd"/>
      <w:r w:rsidRPr="00C8402C">
        <w:rPr>
          <w:sz w:val="24"/>
          <w:szCs w:val="24"/>
        </w:rPr>
        <w:t>;</w:t>
      </w:r>
    </w:p>
    <w:p w:rsidR="00C8402C" w:rsidRPr="00C8402C" w:rsidRDefault="00C8402C" w:rsidP="00C8402C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8402C">
        <w:rPr>
          <w:sz w:val="24"/>
          <w:szCs w:val="24"/>
        </w:rPr>
        <w:t>Обеспечение доступности сведений об имуществе муниципального округа;</w:t>
      </w:r>
    </w:p>
    <w:p w:rsidR="00C8402C" w:rsidRPr="00C8402C" w:rsidRDefault="00C8402C" w:rsidP="00C8402C">
      <w:pPr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Обеспечение эффективного   управления   и    распоряжения земельными участками,    находящимися    на территории Унинского муниципального округа.  Перечень действий в рамках мероприятия приведен в Приложении № 3.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8" w:name="Par338"/>
      <w:bookmarkEnd w:id="8"/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bookmarkStart w:id="9" w:name="Par349"/>
      <w:bookmarkEnd w:id="9"/>
      <w:r w:rsidRPr="00C8402C">
        <w:rPr>
          <w:rFonts w:eastAsia="Calibri"/>
          <w:sz w:val="24"/>
          <w:szCs w:val="24"/>
          <w:lang w:eastAsia="en-US"/>
        </w:rPr>
        <w:t>4. Ресурсное обеспечение Муниципальной программы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Финансовое обеспечение реализации Муниципальной программы осуществляется за счет средств областного бюджета Кировской области и бюджета района.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Объем ежегодных расходов, связанных с финансовым обеспечением Муниципальной программы, устанавливается решением Думы Унинского муниципального округа  о  бюджете на очередной финансовый год и плановый период.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Общий объем ассигнований на реализацию Муниципальной программы составит 6873,57 тыс. рублей.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Объемы финансирования Муниципальной программы уточняются ежегодно при формировании бюджета округа  на очередной финансовый год и плановый период.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Информация о ресурсном обеспечении реализации муниципальной программы представлена в Приложении № 4.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bookmarkStart w:id="10" w:name="Par358"/>
      <w:bookmarkEnd w:id="10"/>
      <w:r w:rsidRPr="00C8402C">
        <w:rPr>
          <w:rFonts w:eastAsia="Calibri"/>
          <w:sz w:val="24"/>
          <w:szCs w:val="24"/>
          <w:lang w:eastAsia="en-US"/>
        </w:rPr>
        <w:t>5. Анализ рисков реализации Муниципальной программы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и меры управления рисками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C8402C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C8402C">
        <w:rPr>
          <w:rFonts w:eastAsia="Calibri"/>
          <w:sz w:val="24"/>
          <w:szCs w:val="24"/>
          <w:lang w:eastAsia="en-US"/>
        </w:rPr>
        <w:t xml:space="preserve"> применением нормативно-правовых актов Российской Федерации,  региональных  нормативно-правовых актов,  нормативно-правовых актов органов местного самоуправления, предусматривающая непрерывное обновление, анализ и пересмотр имеющейся информации.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К рискам реализации Муниципальной программы следует отнести следующие: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6.1.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6.2. Финансовые риски. Наиболее важной экономической составляющей муниципальной программы является ее финансирование за счет средств бюджета района. Одним из наиболее важных рисков является уменьшение объема бюджета в связи с оптимизацией расходов при формировании соответствующих бюджетов, которые направлены на реализацию мероприятий Муниципальной программы.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К финансово-экономическим рискам также относится неэффективное и нерациональное использование ресурсов Муниципальной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lastRenderedPageBreak/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C8402C">
        <w:rPr>
          <w:rFonts w:eastAsia="Calibri"/>
          <w:sz w:val="24"/>
          <w:szCs w:val="24"/>
          <w:lang w:eastAsia="en-US"/>
        </w:rPr>
        <w:t>дств в т</w:t>
      </w:r>
      <w:proofErr w:type="gramEnd"/>
      <w:r w:rsidRPr="00C8402C">
        <w:rPr>
          <w:rFonts w:eastAsia="Calibri"/>
          <w:sz w:val="24"/>
          <w:szCs w:val="24"/>
          <w:lang w:eastAsia="en-US"/>
        </w:rPr>
        <w:t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6.3. Непредвиденные риски. Данные риски связаны с природными и техногенными катастрофами и катаклизмами, которые могут привести к увеличению расходов бюджета округа и снижению расходов на Муниципальную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Меры по минимизации непредвиденных рисков будут предприниматься в ходе оперативного управления.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_________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highlight w:val="yellow"/>
          <w:lang w:eastAsia="en-US"/>
        </w:rPr>
        <w:br w:type="page"/>
      </w:r>
      <w:bookmarkStart w:id="11" w:name="Par425"/>
      <w:bookmarkEnd w:id="11"/>
      <w:r w:rsidRPr="00C8402C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12" w:name="Par428"/>
      <w:bookmarkEnd w:id="12"/>
      <w:r w:rsidRPr="00C8402C">
        <w:rPr>
          <w:rFonts w:eastAsia="Calibri"/>
          <w:b/>
          <w:bCs/>
          <w:sz w:val="24"/>
          <w:szCs w:val="24"/>
          <w:lang w:eastAsia="en-US"/>
        </w:rPr>
        <w:t>СВЕДЕНИЯ О ЦЕЛЕВЫХ ПОКАЗАТЕЛЯХ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8402C">
        <w:rPr>
          <w:rFonts w:eastAsia="Calibri"/>
          <w:b/>
          <w:bCs/>
          <w:sz w:val="24"/>
          <w:szCs w:val="24"/>
          <w:lang w:eastAsia="en-US"/>
        </w:rPr>
        <w:t>ЭФФЕКТИВНОСТИ РЕАЛИЗАЦИИ МУНИЦИПАЛЬНОЙ ПРОГРАММЫ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709"/>
        <w:gridCol w:w="709"/>
        <w:gridCol w:w="708"/>
        <w:gridCol w:w="709"/>
        <w:gridCol w:w="709"/>
        <w:gridCol w:w="660"/>
        <w:gridCol w:w="49"/>
        <w:gridCol w:w="641"/>
        <w:gridCol w:w="67"/>
        <w:gridCol w:w="709"/>
        <w:gridCol w:w="1985"/>
      </w:tblGrid>
      <w:tr w:rsidR="00C8402C" w:rsidRPr="00C8402C" w:rsidTr="000F4464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N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402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8402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 Наименование   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  программы,    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 наименование   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  показателя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Единица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4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Значение показателей эффективности 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Методика расчета значения показателя, источник получения информации</w:t>
            </w:r>
          </w:p>
        </w:tc>
      </w:tr>
      <w:tr w:rsidR="00C8402C" w:rsidRPr="00C8402C" w:rsidTr="000F4464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402C">
              <w:rPr>
                <w:rFonts w:eastAsia="Calibri"/>
                <w:lang w:eastAsia="en-US"/>
              </w:rPr>
              <w:t xml:space="preserve">2020 год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402C">
              <w:rPr>
                <w:rFonts w:eastAsia="Calibri"/>
                <w:lang w:eastAsia="en-US"/>
              </w:rPr>
              <w:t>(базовый)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402C">
              <w:rPr>
                <w:rFonts w:eastAsia="Calibri"/>
                <w:lang w:eastAsia="en-US"/>
              </w:rPr>
              <w:t>2021 год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402C"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402C">
              <w:rPr>
                <w:rFonts w:eastAsia="Calibri"/>
                <w:lang w:eastAsia="en-US"/>
              </w:rPr>
              <w:t xml:space="preserve"> 2022 год (оценка)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402C">
              <w:rPr>
                <w:rFonts w:eastAsia="Calibri"/>
                <w:lang w:eastAsia="en-US"/>
              </w:rPr>
              <w:t xml:space="preserve"> 2023 год (прогноз)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402C">
              <w:rPr>
                <w:rFonts w:eastAsia="Calibri"/>
                <w:lang w:eastAsia="en-US"/>
              </w:rPr>
              <w:t>2024 год (прогноз)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402C">
              <w:rPr>
                <w:rFonts w:eastAsia="Calibri"/>
                <w:lang w:eastAsia="en-US"/>
              </w:rPr>
              <w:t>2025 год (прогноз)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402C">
              <w:rPr>
                <w:rFonts w:eastAsia="Calibri"/>
                <w:lang w:eastAsia="en-US"/>
              </w:rPr>
              <w:t xml:space="preserve">2026 год (прогноз)     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402C" w:rsidRPr="00C8402C" w:rsidTr="000F4464">
        <w:trPr>
          <w:trHeight w:val="653"/>
          <w:tblCellSpacing w:w="5" w:type="nil"/>
        </w:trPr>
        <w:tc>
          <w:tcPr>
            <w:tcW w:w="10065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Муниципальная  программа Унинского муниципального округа Кировской области «Управление муниципальным имуществом» на 2022 - 2026 годы</w:t>
            </w:r>
          </w:p>
        </w:tc>
      </w:tr>
      <w:tr w:rsidR="00C8402C" w:rsidRPr="00C8402C" w:rsidTr="000F4464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Количество        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унитарных предприятий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ед.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4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Показатель определяется на основании сведений реестра муниципального имущества Унинского муниципального округа Кировской области</w:t>
            </w:r>
          </w:p>
        </w:tc>
      </w:tr>
      <w:tr w:rsidR="00C8402C" w:rsidRPr="00C8402C" w:rsidTr="000F4464">
        <w:trPr>
          <w:trHeight w:val="200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количество проверок эффективного и целевого использования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 ед.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Показатель определяется  на основании данных МУ «Администрация Унинского муниципального округа Кировской области» </w:t>
            </w:r>
          </w:p>
        </w:tc>
      </w:tr>
      <w:tr w:rsidR="00C8402C" w:rsidRPr="00C8402C" w:rsidTr="000F4464">
        <w:trPr>
          <w:trHeight w:val="61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количество вовлеченных в хозяйственный оборот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  ед.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Показатель определяется  на основании данных МУ «Администрация Унинского муниципального округа Кировской области»</w:t>
            </w:r>
          </w:p>
        </w:tc>
      </w:tr>
      <w:tr w:rsidR="00C8402C" w:rsidRPr="00C8402C" w:rsidTr="000F4464">
        <w:trPr>
          <w:trHeight w:val="47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8402C">
              <w:rPr>
                <w:sz w:val="24"/>
                <w:szCs w:val="24"/>
              </w:rPr>
              <w:t xml:space="preserve">поступление в бюджет округа </w:t>
            </w:r>
            <w:r w:rsidRPr="00C8402C">
              <w:rPr>
                <w:sz w:val="24"/>
                <w:szCs w:val="24"/>
              </w:rPr>
              <w:lastRenderedPageBreak/>
              <w:t>доходов от управления и распоряжения муниципальным имуществом и земельными ресурсами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2125,59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2133,78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jc w:val="center"/>
              <w:rPr>
                <w:bCs/>
                <w:sz w:val="22"/>
                <w:szCs w:val="22"/>
              </w:rPr>
            </w:pPr>
            <w:r w:rsidRPr="00C8402C">
              <w:rPr>
                <w:bCs/>
                <w:sz w:val="22"/>
                <w:szCs w:val="22"/>
              </w:rPr>
              <w:t xml:space="preserve">4720,63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jc w:val="center"/>
              <w:rPr>
                <w:bCs/>
                <w:sz w:val="22"/>
                <w:szCs w:val="22"/>
              </w:rPr>
            </w:pPr>
            <w:r w:rsidRPr="00C8402C">
              <w:rPr>
                <w:bCs/>
                <w:sz w:val="22"/>
                <w:szCs w:val="22"/>
              </w:rPr>
              <w:t xml:space="preserve">4408,83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jc w:val="center"/>
              <w:rPr>
                <w:bCs/>
                <w:sz w:val="22"/>
                <w:szCs w:val="22"/>
              </w:rPr>
            </w:pPr>
            <w:r w:rsidRPr="00C8402C">
              <w:rPr>
                <w:bCs/>
                <w:sz w:val="22"/>
                <w:szCs w:val="22"/>
              </w:rPr>
              <w:t xml:space="preserve">4504,38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jc w:val="center"/>
              <w:rPr>
                <w:bCs/>
                <w:sz w:val="22"/>
                <w:szCs w:val="22"/>
              </w:rPr>
            </w:pPr>
            <w:r w:rsidRPr="00C8402C">
              <w:rPr>
                <w:bCs/>
                <w:sz w:val="22"/>
                <w:szCs w:val="22"/>
              </w:rPr>
              <w:t>4544,</w:t>
            </w:r>
          </w:p>
          <w:p w:rsidR="00C8402C" w:rsidRPr="00C8402C" w:rsidRDefault="00C8402C" w:rsidP="00C8402C">
            <w:pPr>
              <w:jc w:val="center"/>
              <w:rPr>
                <w:bCs/>
                <w:sz w:val="22"/>
                <w:szCs w:val="22"/>
              </w:rPr>
            </w:pPr>
            <w:r w:rsidRPr="00C8402C">
              <w:rPr>
                <w:bCs/>
                <w:sz w:val="22"/>
                <w:szCs w:val="22"/>
              </w:rPr>
              <w:t xml:space="preserve">03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jc w:val="center"/>
              <w:rPr>
                <w:bCs/>
                <w:sz w:val="22"/>
                <w:szCs w:val="22"/>
              </w:rPr>
            </w:pPr>
            <w:r w:rsidRPr="00C8402C">
              <w:rPr>
                <w:bCs/>
                <w:sz w:val="22"/>
                <w:szCs w:val="22"/>
              </w:rPr>
              <w:t>4587,78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Показатель определяется  </w:t>
            </w:r>
            <w:r w:rsidRPr="00C8402C">
              <w:rPr>
                <w:rFonts w:eastAsia="Calibri"/>
                <w:sz w:val="24"/>
                <w:szCs w:val="24"/>
                <w:lang w:eastAsia="en-US"/>
              </w:rPr>
              <w:lastRenderedPageBreak/>
              <w:t>МУ «Администрация Унинского муниципального округа Кировской области» на основании данных Управления Федерального казначейства по Кировской области</w:t>
            </w:r>
          </w:p>
        </w:tc>
      </w:tr>
      <w:tr w:rsidR="00C8402C" w:rsidRPr="00C8402C" w:rsidTr="000F4464">
        <w:trPr>
          <w:trHeight w:val="76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5.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Размер финансовых средств, затраченных на содержание (приобретение)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тыс. руб.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1303,46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2333,74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2217,93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963,925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1257,6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1400,1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1400,1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Показатель определяется  на основании данных МУ «Администрация Унинского муниципального округа Кировской области»</w:t>
            </w:r>
          </w:p>
        </w:tc>
      </w:tr>
    </w:tbl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__________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br w:type="page"/>
      </w:r>
      <w:r w:rsidRPr="00C8402C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к Муниципальной  программе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jc w:val="center"/>
        <w:rPr>
          <w:b/>
          <w:sz w:val="28"/>
          <w:szCs w:val="28"/>
        </w:rPr>
      </w:pPr>
      <w:bookmarkStart w:id="13" w:name="Par581"/>
      <w:bookmarkEnd w:id="13"/>
      <w:r w:rsidRPr="00C8402C">
        <w:rPr>
          <w:b/>
          <w:sz w:val="28"/>
          <w:szCs w:val="28"/>
        </w:rPr>
        <w:t xml:space="preserve">Прогноз поступлений доходов  в бюджет муниципального округа от использования имущества, находящегося в муниципальной собственности на 2023-2026 в разрезе доходных источников  </w:t>
      </w:r>
    </w:p>
    <w:p w:rsidR="00C8402C" w:rsidRPr="00C8402C" w:rsidRDefault="00C8402C" w:rsidP="00C8402C">
      <w:pPr>
        <w:jc w:val="right"/>
      </w:pPr>
      <w:r w:rsidRPr="00C8402C">
        <w:t>тыс. руб.</w:t>
      </w:r>
    </w:p>
    <w:tbl>
      <w:tblPr>
        <w:tblW w:w="10019" w:type="dxa"/>
        <w:jc w:val="right"/>
        <w:tblInd w:w="-509" w:type="dxa"/>
        <w:tblLayout w:type="fixed"/>
        <w:tblLook w:val="04A0" w:firstRow="1" w:lastRow="0" w:firstColumn="1" w:lastColumn="0" w:noHBand="0" w:noVBand="1"/>
      </w:tblPr>
      <w:tblGrid>
        <w:gridCol w:w="6095"/>
        <w:gridCol w:w="993"/>
        <w:gridCol w:w="992"/>
        <w:gridCol w:w="992"/>
        <w:gridCol w:w="947"/>
      </w:tblGrid>
      <w:tr w:rsidR="00C8402C" w:rsidRPr="00C8402C" w:rsidTr="000F4464">
        <w:trPr>
          <w:trHeight w:val="520"/>
          <w:jc w:val="right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b/>
                <w:sz w:val="22"/>
                <w:szCs w:val="22"/>
              </w:rPr>
            </w:pPr>
            <w:r w:rsidRPr="00C8402C">
              <w:rPr>
                <w:b/>
                <w:sz w:val="22"/>
                <w:szCs w:val="22"/>
              </w:rPr>
              <w:t>Наименование статей (подстатей) классификации доходов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C8402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C8402C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402C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  <w:p w:rsidR="00C8402C" w:rsidRPr="00C8402C" w:rsidRDefault="00C8402C" w:rsidP="00C8402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402C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402C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  <w:p w:rsidR="00C8402C" w:rsidRPr="00C8402C" w:rsidRDefault="00C8402C" w:rsidP="00C8402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402C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r w:rsidRPr="00C8402C">
              <w:rPr>
                <w:rFonts w:eastAsia="Calibr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1462,72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1462,72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1462,72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1462,72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proofErr w:type="gramStart"/>
            <w:r w:rsidRPr="00C8402C">
              <w:rPr>
                <w:rFonts w:eastAsia="Calibr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170,00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170,00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r w:rsidRPr="00C8402C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21,4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22,4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r w:rsidRPr="00C8402C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788,17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822,86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861,55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904,24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r w:rsidRPr="00C8402C">
              <w:rPr>
                <w:rFonts w:eastAsia="Calibri"/>
                <w:sz w:val="22"/>
                <w:szCs w:val="22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150,00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150,00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proofErr w:type="spellStart"/>
            <w:r w:rsidRPr="00C8402C">
              <w:rPr>
                <w:sz w:val="22"/>
                <w:szCs w:val="22"/>
              </w:rPr>
              <w:t>найм</w:t>
            </w:r>
            <w:proofErr w:type="spellEnd"/>
            <w:r w:rsidRPr="00C8402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1063,40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1063,40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1063,40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1063,40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r w:rsidRPr="00C8402C">
              <w:rPr>
                <w:rFonts w:eastAsia="Calibr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295,0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295,0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r w:rsidRPr="00C8402C">
              <w:rPr>
                <w:rFonts w:eastAsia="Calibr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60,00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60,00</w:t>
            </w:r>
          </w:p>
        </w:tc>
      </w:tr>
      <w:tr w:rsidR="00C8402C" w:rsidRPr="00C8402C" w:rsidTr="000F4464">
        <w:trPr>
          <w:trHeight w:val="630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r w:rsidRPr="00C8402C">
              <w:rPr>
                <w:rFonts w:eastAsia="Calibr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60,00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60,00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rPr>
                <w:sz w:val="22"/>
                <w:szCs w:val="22"/>
              </w:rPr>
            </w:pPr>
            <w:r w:rsidRPr="00C8402C">
              <w:rPr>
                <w:rFonts w:eastAsia="Calibr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C8402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lastRenderedPageBreak/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400,00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C" w:rsidRPr="00C8402C" w:rsidRDefault="00C8402C" w:rsidP="00C8402C">
            <w:pPr>
              <w:jc w:val="center"/>
              <w:rPr>
                <w:sz w:val="22"/>
                <w:szCs w:val="22"/>
              </w:rPr>
            </w:pPr>
            <w:r w:rsidRPr="00C8402C">
              <w:rPr>
                <w:sz w:val="22"/>
                <w:szCs w:val="22"/>
              </w:rPr>
              <w:t>400,00</w:t>
            </w:r>
          </w:p>
        </w:tc>
      </w:tr>
      <w:tr w:rsidR="00C8402C" w:rsidRPr="00C8402C" w:rsidTr="000F4464">
        <w:trPr>
          <w:trHeight w:val="315"/>
          <w:jc w:val="right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02C" w:rsidRPr="00C8402C" w:rsidRDefault="00C8402C" w:rsidP="00C8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C8402C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02C" w:rsidRPr="00C8402C" w:rsidRDefault="00C8402C" w:rsidP="00C8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C8402C">
              <w:rPr>
                <w:b/>
                <w:bCs/>
                <w:sz w:val="22"/>
                <w:szCs w:val="22"/>
              </w:rPr>
              <w:t>4408,83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02C" w:rsidRPr="00C8402C" w:rsidRDefault="00C8402C" w:rsidP="00C8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C8402C">
              <w:rPr>
                <w:b/>
                <w:bCs/>
                <w:sz w:val="22"/>
                <w:szCs w:val="22"/>
              </w:rPr>
              <w:t>4504,38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8402C" w:rsidRPr="00C8402C" w:rsidRDefault="00C8402C" w:rsidP="00C8402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402C">
              <w:rPr>
                <w:rFonts w:eastAsia="Calibri"/>
                <w:b/>
                <w:sz w:val="22"/>
                <w:szCs w:val="22"/>
                <w:lang w:eastAsia="en-US"/>
              </w:rPr>
              <w:t>4544,03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2C" w:rsidRPr="00C8402C" w:rsidRDefault="00C8402C" w:rsidP="00C8402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8402C" w:rsidRPr="00C8402C" w:rsidRDefault="00C8402C" w:rsidP="00C8402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402C">
              <w:rPr>
                <w:rFonts w:eastAsia="Calibri"/>
                <w:b/>
                <w:sz w:val="22"/>
                <w:szCs w:val="22"/>
                <w:lang w:eastAsia="en-US"/>
              </w:rPr>
              <w:t>4587,78</w:t>
            </w:r>
          </w:p>
        </w:tc>
      </w:tr>
    </w:tbl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__________</w:t>
      </w:r>
      <w:r w:rsidRPr="00C8402C">
        <w:rPr>
          <w:rFonts w:eastAsia="Calibri"/>
          <w:sz w:val="24"/>
          <w:szCs w:val="24"/>
          <w:lang w:eastAsia="en-US"/>
        </w:rPr>
        <w:br w:type="page"/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к Муниципальной  программе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Перечень действий в рамках отдельного мероприятия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«Повышение эффективности управления муниципальной собственностью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Унинского муниципального округа»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 xml:space="preserve"> 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91"/>
      </w:tblGrid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C8402C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C8402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8402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Упорядочение системы муниципальных унитарных предприятий и оптимизация их количества, а также структуры  иного имущества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Определение перечней муниципальных    предприятий, подлежащих  сохранению  в муниципальной  собственности, необходимых для реализации   полномочий, установленных  действующим   законодательством. При необходимости, последовательное сокращение количества убыточных предприятий путем их приватизации, ликвидации или реорганизации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Разработка нормативной правовой базы муниципального образования,  необходимой   для создания   и   функционирования муниципальных  предприятий и учреждений, согласно требованиям действующего законодательства         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Оптимизация имущественных комплексов муниципальных предприятий и учреждений, органов местного самоуправления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Составление реестра зданий (помещений), арендуемых либо находящихся в безвозмездном пользовании муниципальных учреждений, предприятий, органов местного самоуправления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Составление реестра неиспользуемых и высвобождаемых зданий (помещений) муниципальной собственности, подготовка предложений по их дальнейшему использованию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Обеспечение системы мониторинга деятельности муниципальных учреждений,  осуществление экономического мониторинга деятельности унитарных   предприятий, повышение  качества  управления муниципальными унитарными предприятиями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Установление    основных технико-экономических  и иных качественных  показателей работы муниципальных унитарных  предприятий   путем согласования бизнес-планов   (планов   финансово-хозяйственной    деятельности) предприятий  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  </w:t>
            </w:r>
            <w:proofErr w:type="gramStart"/>
            <w:r w:rsidRPr="00C8402C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 исполнением    бизнес-планов муниципальных  унитарных предприятий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Мониторинг кредиторской  задолженности  муниципальных унитарных  предприятий, в том числе просроченной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Проведение    балансовых комиссий по  результатам деятельности  муниципальных унитарных предприятий за  предшествующий год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Установление    основных технико-экономических  и иных качественных  показателей работы муниципальных учреждений   путем согласования планов   финансово-хозяйственной    деятельности муниципальных  бюджетных и автономных учреждений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  </w:t>
            </w:r>
            <w:proofErr w:type="gramStart"/>
            <w:r w:rsidRPr="00C8402C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 исполнением   планов   финансово-хозяйственной    деятельности муниципальных  бюджетных и автономных учреждений путем согласования  Отчета  о результатах деятельности муниципальных учреждений и об </w:t>
            </w:r>
            <w:r w:rsidRPr="00C8402C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использовании закрепленного за ними муниципального имущества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Повышение  эффективности использования  имущества муниципальными  унитарными предприятиями и  учреждениями, имущества казны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Проведение проверок  эффективности  использования имущества  (недвижимого  и  движимого)  муниципальными  унитарными  предприятиями, а  также муниципальными учреждениями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Проведение ремонта имущества  казны   в   пределах выделенного финансирования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Обновление основных фондов организаций муниципальной формы собственности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Содержание (теплоснабжение, электроснабжение, водоснабжение, водоотведение) административного здания  (</w:t>
            </w:r>
            <w:proofErr w:type="spellStart"/>
            <w:r w:rsidRPr="00C8402C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proofErr w:type="gramStart"/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402C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 w:rsidRPr="00C8402C">
              <w:rPr>
                <w:rFonts w:eastAsia="Calibri"/>
                <w:sz w:val="24"/>
                <w:szCs w:val="24"/>
                <w:lang w:eastAsia="en-US"/>
              </w:rPr>
              <w:t>ни</w:t>
            </w:r>
            <w:proofErr w:type="spellEnd"/>
            <w:r w:rsidRPr="00C8402C">
              <w:rPr>
                <w:rFonts w:eastAsia="Calibri"/>
                <w:sz w:val="24"/>
                <w:szCs w:val="24"/>
                <w:lang w:eastAsia="en-US"/>
              </w:rPr>
              <w:t>, ул. Ленина, 17) и других объектов казны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Вовлечение  в   рыночный оборот   неиспользуемого или используемого не  по назначению   недвижимого имущества               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Ежегодная    инвентаризация объектов казны Унинского муниципального округа, выявление неиспользуемых объектов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Передача неиспользуемого или используемого не  по назначению    муниципального имущества, закрепленного за муниципальными учреждениями, в казну округа, вовлечение их в хозяйственный оборот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Использование муниципального недвижимого имущества и земельных участков в качестве залога для привлечения инвестиций в реальный сектор экономики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Проведение   технической инвентаризации  объектов недвижимого имущества  и</w:t>
            </w:r>
            <w:r w:rsidRPr="00C8402C">
              <w:rPr>
                <w:rFonts w:eastAsia="Calibri"/>
                <w:sz w:val="24"/>
                <w:szCs w:val="24"/>
                <w:lang w:eastAsia="en-US"/>
              </w:rPr>
              <w:br/>
              <w:t xml:space="preserve">государственной  регистрации прав              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торгов по продаже муниципального имущества, </w:t>
            </w:r>
            <w:proofErr w:type="gramStart"/>
            <w:r w:rsidRPr="00C8402C">
              <w:rPr>
                <w:rFonts w:eastAsia="Calibri"/>
                <w:sz w:val="24"/>
                <w:szCs w:val="24"/>
                <w:lang w:eastAsia="en-US"/>
              </w:rPr>
              <w:t>согласно</w:t>
            </w:r>
            <w:proofErr w:type="gramEnd"/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утвержденного перечня,  прав аренды муниципального имущества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Обеспечение своевременного поступления средств по неналоговым доходам от использования муниципального имущества и земельных участков, </w:t>
            </w:r>
            <w:proofErr w:type="spellStart"/>
            <w:r w:rsidRPr="00C8402C">
              <w:rPr>
                <w:rFonts w:eastAsia="Calibri"/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C8402C">
              <w:rPr>
                <w:rFonts w:eastAsia="Calibri"/>
                <w:sz w:val="24"/>
                <w:szCs w:val="24"/>
                <w:lang w:eastAsia="en-US"/>
              </w:rPr>
              <w:t>-исковая работа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Совершенствование нормативной правовой базы в сфере управления муниципальным имуществом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Проведение  анализа  по   ранее заключенным договорам безвозмездного  пользования   в целях выявления эффективности и обоснованности  использования</w:t>
            </w:r>
            <w:r w:rsidRPr="00C8402C">
              <w:rPr>
                <w:rFonts w:eastAsia="Calibri"/>
                <w:sz w:val="24"/>
                <w:szCs w:val="24"/>
                <w:lang w:eastAsia="en-US"/>
              </w:rPr>
              <w:br/>
              <w:t xml:space="preserve">имущества                      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Проверка целевого использования муниципального имущества, переданного по договорам  аренды и  безвозмездного пользования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системы учета муниципального имущества  Унинского муниципального округа         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Ведение реестра муниципального имущества  Унинского муниципального округа, раскрытие информации  о  муниципальном имуществе Унинского муниципального округа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Обеспечение открытости сведений о предоставляемом в аренду недвижимом имуществе (размещении на официальном сайте Унинского муниципального округа)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Учет начисления и уплаты платежей от использования муниципального имущества и земельных участков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Размещение информации об арендаторах, имеющих задолженность по арендной плате на официальном сайте Унинского муниципального округа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Работа по  разграничению государственной   собственности на землю и  государственная  регистрация права  собственности на  земельные   участки, подлежащие  отнесению  к муниципальной собственности  Унинского </w:t>
            </w:r>
            <w:r w:rsidRPr="00C8402C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округа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Совершенствование муниципальной нормативной правовой базы в сфере земельных отношений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Организация    работ    по    заключению    и перезаключению  договоров  аренды   земельных участков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Ведение  реестра  договоров  аренды земельных участков                                     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 отнесение земельных участков к категориям,  перевод  из одной категории в другую, организация работ по смене видов разрешенного использования земельных участков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Организация  работ  по  межеванию   земельных участков,    обеспечение    постановки     на кадастровый учет, их предпродажная подготовка  (в  соответствии  с  планом приватизации)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торгов, аукционов на право заключения договоров аренды  земельных    участков    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C8402C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 использованием  и охраной   земель    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C8402C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 целевым использованием земельных участков, предоставленных для строительства с целью выявления неиспользуемых по назначению и последующего выставления их на аукцион</w:t>
            </w:r>
          </w:p>
        </w:tc>
      </w:tr>
      <w:tr w:rsidR="00C8402C" w:rsidRPr="00C8402C" w:rsidTr="000F4464">
        <w:tc>
          <w:tcPr>
            <w:tcW w:w="648" w:type="dxa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91" w:type="dxa"/>
          </w:tcPr>
          <w:p w:rsidR="00C8402C" w:rsidRPr="00C8402C" w:rsidRDefault="00C8402C" w:rsidP="00C840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Участие в реализации проектов по поддержке местных инициатив.</w:t>
            </w:r>
          </w:p>
        </w:tc>
      </w:tr>
    </w:tbl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__________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Cs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br w:type="page"/>
      </w:r>
      <w:r w:rsidRPr="00C8402C">
        <w:rPr>
          <w:rFonts w:eastAsia="Calibri"/>
          <w:bCs/>
          <w:sz w:val="24"/>
          <w:szCs w:val="24"/>
          <w:lang w:eastAsia="en-US"/>
        </w:rPr>
        <w:lastRenderedPageBreak/>
        <w:t xml:space="preserve">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C8402C">
        <w:rPr>
          <w:rFonts w:eastAsia="Calibri"/>
          <w:bCs/>
          <w:sz w:val="24"/>
          <w:szCs w:val="24"/>
          <w:lang w:eastAsia="en-US"/>
        </w:rPr>
        <w:t>Приложение № 4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к Муниципальной  программе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8402C">
        <w:rPr>
          <w:rFonts w:eastAsia="Calibri"/>
          <w:b/>
          <w:bCs/>
          <w:sz w:val="24"/>
          <w:szCs w:val="24"/>
          <w:lang w:eastAsia="en-US"/>
        </w:rPr>
        <w:t xml:space="preserve">РЕСУРСНОЕ ОБЕСПЕЧЕНИЕ МУНИЦИПАЛЬНОЙ ПРОГРАММЫ </w:t>
      </w: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1"/>
        <w:gridCol w:w="1418"/>
        <w:gridCol w:w="850"/>
        <w:gridCol w:w="851"/>
        <w:gridCol w:w="850"/>
        <w:gridCol w:w="709"/>
        <w:gridCol w:w="709"/>
        <w:gridCol w:w="1134"/>
      </w:tblGrid>
      <w:tr w:rsidR="00C8402C" w:rsidRPr="00C8402C" w:rsidTr="000F4464">
        <w:trPr>
          <w:trHeight w:val="919"/>
        </w:trPr>
        <w:tc>
          <w:tcPr>
            <w:tcW w:w="1276" w:type="dxa"/>
            <w:vMerge w:val="restart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муниципальной программы, подпрограммы, муниципальной целевой программы, ведомственной целевой программы</w:t>
            </w:r>
          </w:p>
        </w:tc>
        <w:tc>
          <w:tcPr>
            <w:tcW w:w="1418" w:type="dxa"/>
            <w:vMerge w:val="restart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Источники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3969" w:type="dxa"/>
            <w:gridSpan w:val="5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Оценка расходов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134" w:type="dxa"/>
            <w:vMerge w:val="restart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C8402C" w:rsidRPr="00C8402C" w:rsidTr="000F4464">
        <w:trPr>
          <w:trHeight w:val="560"/>
        </w:trPr>
        <w:tc>
          <w:tcPr>
            <w:tcW w:w="1276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8402C" w:rsidRPr="00C8402C" w:rsidTr="000F4464">
        <w:trPr>
          <w:trHeight w:val="534"/>
        </w:trPr>
        <w:tc>
          <w:tcPr>
            <w:tcW w:w="1276" w:type="dxa"/>
            <w:vMerge w:val="restart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Муниципальная целевая программа</w:t>
            </w:r>
          </w:p>
        </w:tc>
        <w:tc>
          <w:tcPr>
            <w:tcW w:w="2551" w:type="dxa"/>
            <w:vMerge w:val="restart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«Управление </w:t>
            </w:r>
            <w:proofErr w:type="gramStart"/>
            <w:r w:rsidRPr="00C8402C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муниципальным</w:t>
            </w:r>
            <w:proofErr w:type="gramEnd"/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имуществом»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bCs/>
                <w:sz w:val="24"/>
                <w:szCs w:val="24"/>
                <w:lang w:eastAsia="en-US"/>
              </w:rPr>
              <w:t>на 2022 - 2026 годы</w:t>
            </w:r>
          </w:p>
        </w:tc>
        <w:tc>
          <w:tcPr>
            <w:tcW w:w="1418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4642,04</w:t>
            </w:r>
          </w:p>
        </w:tc>
        <w:tc>
          <w:tcPr>
            <w:tcW w:w="851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963,93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1257,6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6873,57</w:t>
            </w:r>
          </w:p>
        </w:tc>
      </w:tr>
      <w:tr w:rsidR="00C8402C" w:rsidRPr="00C8402C" w:rsidTr="000F4464">
        <w:trPr>
          <w:trHeight w:val="666"/>
        </w:trPr>
        <w:tc>
          <w:tcPr>
            <w:tcW w:w="1276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областной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1675,84</w:t>
            </w:r>
          </w:p>
        </w:tc>
        <w:tc>
          <w:tcPr>
            <w:tcW w:w="851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2475,84</w:t>
            </w:r>
          </w:p>
        </w:tc>
      </w:tr>
      <w:tr w:rsidR="00C8402C" w:rsidRPr="00C8402C" w:rsidTr="000F4464">
        <w:trPr>
          <w:trHeight w:val="600"/>
        </w:trPr>
        <w:tc>
          <w:tcPr>
            <w:tcW w:w="1276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местный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851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563,93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857,6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4397,73</w:t>
            </w:r>
          </w:p>
        </w:tc>
      </w:tr>
      <w:tr w:rsidR="00C8402C" w:rsidRPr="00C8402C" w:rsidTr="000F4464">
        <w:trPr>
          <w:trHeight w:val="644"/>
        </w:trPr>
        <w:tc>
          <w:tcPr>
            <w:tcW w:w="1276" w:type="dxa"/>
            <w:vMerge w:val="restart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Отдельное мероприятие</w:t>
            </w:r>
          </w:p>
        </w:tc>
        <w:tc>
          <w:tcPr>
            <w:tcW w:w="2551" w:type="dxa"/>
            <w:vMerge w:val="restart"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Повышение эффективности управления муниципальной собственностью Унинского муниципального округа</w:t>
            </w:r>
          </w:p>
        </w:tc>
        <w:tc>
          <w:tcPr>
            <w:tcW w:w="1418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4642,04</w:t>
            </w:r>
          </w:p>
        </w:tc>
        <w:tc>
          <w:tcPr>
            <w:tcW w:w="851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963,93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6873,57</w:t>
            </w:r>
          </w:p>
        </w:tc>
      </w:tr>
      <w:tr w:rsidR="00C8402C" w:rsidRPr="00C8402C" w:rsidTr="000F4464">
        <w:trPr>
          <w:trHeight w:val="698"/>
        </w:trPr>
        <w:tc>
          <w:tcPr>
            <w:tcW w:w="1276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областной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1675,84</w:t>
            </w:r>
          </w:p>
        </w:tc>
        <w:tc>
          <w:tcPr>
            <w:tcW w:w="851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2475,84</w:t>
            </w:r>
          </w:p>
        </w:tc>
      </w:tr>
      <w:tr w:rsidR="00C8402C" w:rsidRPr="00C8402C" w:rsidTr="000F4464">
        <w:trPr>
          <w:trHeight w:val="300"/>
        </w:trPr>
        <w:tc>
          <w:tcPr>
            <w:tcW w:w="1276" w:type="dxa"/>
            <w:vMerge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C8402C" w:rsidRPr="00C8402C" w:rsidRDefault="00C8402C" w:rsidP="00C84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 xml:space="preserve">местный </w:t>
            </w:r>
          </w:p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851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563,93</w:t>
            </w:r>
          </w:p>
        </w:tc>
        <w:tc>
          <w:tcPr>
            <w:tcW w:w="850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:rsidR="00C8402C" w:rsidRPr="00C8402C" w:rsidRDefault="00C8402C" w:rsidP="00C8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02C">
              <w:rPr>
                <w:rFonts w:eastAsia="Calibri"/>
                <w:sz w:val="24"/>
                <w:szCs w:val="24"/>
                <w:lang w:eastAsia="en-US"/>
              </w:rPr>
              <w:t>4397,73</w:t>
            </w:r>
          </w:p>
        </w:tc>
      </w:tr>
    </w:tbl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8402C">
        <w:rPr>
          <w:rFonts w:eastAsia="Calibri"/>
          <w:sz w:val="24"/>
          <w:szCs w:val="24"/>
          <w:lang w:eastAsia="en-US"/>
        </w:rPr>
        <w:t>________________</w:t>
      </w:r>
    </w:p>
    <w:p w:rsidR="00C8402C" w:rsidRPr="00C8402C" w:rsidRDefault="00C8402C" w:rsidP="00C8402C">
      <w:pPr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jc w:val="center"/>
        <w:rPr>
          <w:rFonts w:eastAsia="Calibri"/>
          <w:sz w:val="24"/>
          <w:szCs w:val="24"/>
          <w:lang w:eastAsia="en-US"/>
        </w:rPr>
      </w:pPr>
    </w:p>
    <w:p w:rsidR="00C8402C" w:rsidRPr="00C8402C" w:rsidRDefault="00C8402C" w:rsidP="00C8402C">
      <w:pPr>
        <w:shd w:val="clear" w:color="auto" w:fill="FFFFFF"/>
        <w:spacing w:line="322" w:lineRule="exact"/>
        <w:ind w:right="264"/>
        <w:jc w:val="both"/>
        <w:rPr>
          <w:rFonts w:eastAsia="Calibri"/>
          <w:sz w:val="24"/>
          <w:szCs w:val="24"/>
          <w:lang w:eastAsia="en-US"/>
        </w:rPr>
      </w:pPr>
    </w:p>
    <w:p w:rsidR="00C8402C" w:rsidRDefault="00C8402C" w:rsidP="00FA543F">
      <w:pPr>
        <w:jc w:val="both"/>
        <w:rPr>
          <w:sz w:val="24"/>
          <w:szCs w:val="24"/>
        </w:rPr>
      </w:pPr>
    </w:p>
    <w:p w:rsidR="00C8402C" w:rsidRDefault="00C8402C" w:rsidP="00FA543F">
      <w:pPr>
        <w:jc w:val="both"/>
        <w:rPr>
          <w:sz w:val="24"/>
          <w:szCs w:val="24"/>
        </w:rPr>
      </w:pPr>
    </w:p>
    <w:p w:rsidR="00D13E9F" w:rsidRDefault="006C2102" w:rsidP="00FA54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sectPr w:rsidR="00D13E9F" w:rsidSect="00937F69">
      <w:headerReference w:type="even" r:id="rId12"/>
      <w:headerReference w:type="first" r:id="rId13"/>
      <w:pgSz w:w="11907" w:h="16840" w:code="9"/>
      <w:pgMar w:top="1701" w:right="708" w:bottom="170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26" w:rsidRDefault="00F02526">
      <w:r>
        <w:separator/>
      </w:r>
    </w:p>
  </w:endnote>
  <w:endnote w:type="continuationSeparator" w:id="0">
    <w:p w:rsidR="00F02526" w:rsidRDefault="00F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26" w:rsidRDefault="00F02526">
      <w:r>
        <w:separator/>
      </w:r>
    </w:p>
  </w:footnote>
  <w:footnote w:type="continuationSeparator" w:id="0">
    <w:p w:rsidR="00F02526" w:rsidRDefault="00F0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6A" w:rsidRDefault="00A21CA7" w:rsidP="00E848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8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86A">
      <w:rPr>
        <w:rStyle w:val="a5"/>
        <w:noProof/>
      </w:rPr>
      <w:t>2</w:t>
    </w:r>
    <w:r>
      <w:rPr>
        <w:rStyle w:val="a5"/>
      </w:rPr>
      <w:fldChar w:fldCharType="end"/>
    </w:r>
  </w:p>
  <w:p w:rsidR="00E8486A" w:rsidRDefault="00E848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6A" w:rsidRDefault="00E848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A208B2"/>
    <w:lvl w:ilvl="0">
      <w:numFmt w:val="bullet"/>
      <w:lvlText w:val="*"/>
      <w:lvlJc w:val="left"/>
    </w:lvl>
  </w:abstractNum>
  <w:abstractNum w:abstractNumId="1">
    <w:nsid w:val="6849791F"/>
    <w:multiLevelType w:val="hybridMultilevel"/>
    <w:tmpl w:val="839218B4"/>
    <w:lvl w:ilvl="0" w:tplc="2B4A0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FD8"/>
    <w:rsid w:val="000038D4"/>
    <w:rsid w:val="00037646"/>
    <w:rsid w:val="0005681C"/>
    <w:rsid w:val="000728B0"/>
    <w:rsid w:val="000A4C4E"/>
    <w:rsid w:val="000C47D4"/>
    <w:rsid w:val="000D2972"/>
    <w:rsid w:val="000D5FB4"/>
    <w:rsid w:val="00110CC5"/>
    <w:rsid w:val="00145144"/>
    <w:rsid w:val="00173EA0"/>
    <w:rsid w:val="00176FB9"/>
    <w:rsid w:val="00183915"/>
    <w:rsid w:val="00186CFB"/>
    <w:rsid w:val="001A6FEB"/>
    <w:rsid w:val="001B0A98"/>
    <w:rsid w:val="001D7035"/>
    <w:rsid w:val="001E652D"/>
    <w:rsid w:val="0020751F"/>
    <w:rsid w:val="0020777B"/>
    <w:rsid w:val="00212969"/>
    <w:rsid w:val="002356CB"/>
    <w:rsid w:val="00236E71"/>
    <w:rsid w:val="002525E3"/>
    <w:rsid w:val="0025693C"/>
    <w:rsid w:val="00260511"/>
    <w:rsid w:val="002663BA"/>
    <w:rsid w:val="00286680"/>
    <w:rsid w:val="002965CA"/>
    <w:rsid w:val="002A4AEF"/>
    <w:rsid w:val="002A7B1B"/>
    <w:rsid w:val="002B016C"/>
    <w:rsid w:val="002C1184"/>
    <w:rsid w:val="002C14C1"/>
    <w:rsid w:val="00300FD8"/>
    <w:rsid w:val="00315ADE"/>
    <w:rsid w:val="00321426"/>
    <w:rsid w:val="00330554"/>
    <w:rsid w:val="00363161"/>
    <w:rsid w:val="00363956"/>
    <w:rsid w:val="00364E07"/>
    <w:rsid w:val="00385878"/>
    <w:rsid w:val="003B2439"/>
    <w:rsid w:val="003C1F6A"/>
    <w:rsid w:val="003C60DD"/>
    <w:rsid w:val="0040218C"/>
    <w:rsid w:val="00407BC0"/>
    <w:rsid w:val="00410F48"/>
    <w:rsid w:val="00491371"/>
    <w:rsid w:val="00495928"/>
    <w:rsid w:val="004A790C"/>
    <w:rsid w:val="004C43F7"/>
    <w:rsid w:val="004D73F9"/>
    <w:rsid w:val="004E1CE8"/>
    <w:rsid w:val="004F19B1"/>
    <w:rsid w:val="004F6B43"/>
    <w:rsid w:val="00516FA9"/>
    <w:rsid w:val="00524587"/>
    <w:rsid w:val="005313D4"/>
    <w:rsid w:val="00540E4A"/>
    <w:rsid w:val="005447A9"/>
    <w:rsid w:val="00551A87"/>
    <w:rsid w:val="00565FC2"/>
    <w:rsid w:val="00595276"/>
    <w:rsid w:val="005A16F2"/>
    <w:rsid w:val="005C02C9"/>
    <w:rsid w:val="005D37C4"/>
    <w:rsid w:val="005D5234"/>
    <w:rsid w:val="005D6081"/>
    <w:rsid w:val="0062199B"/>
    <w:rsid w:val="006B0248"/>
    <w:rsid w:val="006B086C"/>
    <w:rsid w:val="006C2102"/>
    <w:rsid w:val="00700DFD"/>
    <w:rsid w:val="00744222"/>
    <w:rsid w:val="0075694A"/>
    <w:rsid w:val="00756B82"/>
    <w:rsid w:val="007B6C83"/>
    <w:rsid w:val="007E0B76"/>
    <w:rsid w:val="007F0E66"/>
    <w:rsid w:val="007F26BB"/>
    <w:rsid w:val="008267C4"/>
    <w:rsid w:val="00846F05"/>
    <w:rsid w:val="008D1D36"/>
    <w:rsid w:val="008F7507"/>
    <w:rsid w:val="00910AAC"/>
    <w:rsid w:val="00922814"/>
    <w:rsid w:val="00937F69"/>
    <w:rsid w:val="009637F1"/>
    <w:rsid w:val="009B4B5F"/>
    <w:rsid w:val="009C5782"/>
    <w:rsid w:val="009C7D9A"/>
    <w:rsid w:val="00A0097F"/>
    <w:rsid w:val="00A21CA7"/>
    <w:rsid w:val="00A225FE"/>
    <w:rsid w:val="00A46364"/>
    <w:rsid w:val="00A67F9C"/>
    <w:rsid w:val="00A904CD"/>
    <w:rsid w:val="00AB38C1"/>
    <w:rsid w:val="00AB404F"/>
    <w:rsid w:val="00AC7965"/>
    <w:rsid w:val="00AF42CC"/>
    <w:rsid w:val="00B008EE"/>
    <w:rsid w:val="00B01B0B"/>
    <w:rsid w:val="00B047B1"/>
    <w:rsid w:val="00B21E71"/>
    <w:rsid w:val="00B26FE9"/>
    <w:rsid w:val="00B3184E"/>
    <w:rsid w:val="00B50BED"/>
    <w:rsid w:val="00B871E6"/>
    <w:rsid w:val="00BB47DF"/>
    <w:rsid w:val="00BC3277"/>
    <w:rsid w:val="00BE55DF"/>
    <w:rsid w:val="00BE7486"/>
    <w:rsid w:val="00C630D6"/>
    <w:rsid w:val="00C63463"/>
    <w:rsid w:val="00C8402C"/>
    <w:rsid w:val="00C86437"/>
    <w:rsid w:val="00CB103E"/>
    <w:rsid w:val="00CB4E22"/>
    <w:rsid w:val="00CB5039"/>
    <w:rsid w:val="00CC59F7"/>
    <w:rsid w:val="00CD66BA"/>
    <w:rsid w:val="00D13E9F"/>
    <w:rsid w:val="00D268FA"/>
    <w:rsid w:val="00D52A3F"/>
    <w:rsid w:val="00D54389"/>
    <w:rsid w:val="00DA670B"/>
    <w:rsid w:val="00DB1005"/>
    <w:rsid w:val="00DC28A9"/>
    <w:rsid w:val="00DF2504"/>
    <w:rsid w:val="00E40B50"/>
    <w:rsid w:val="00E65D2A"/>
    <w:rsid w:val="00E82BB6"/>
    <w:rsid w:val="00E8486A"/>
    <w:rsid w:val="00EA30A0"/>
    <w:rsid w:val="00EA3783"/>
    <w:rsid w:val="00ED50F4"/>
    <w:rsid w:val="00ED525A"/>
    <w:rsid w:val="00EE0A3B"/>
    <w:rsid w:val="00F00BA4"/>
    <w:rsid w:val="00F02526"/>
    <w:rsid w:val="00F320B8"/>
    <w:rsid w:val="00F654D2"/>
    <w:rsid w:val="00FA543F"/>
    <w:rsid w:val="00FC019E"/>
    <w:rsid w:val="00FD39CC"/>
    <w:rsid w:val="00FE3E19"/>
    <w:rsid w:val="00FE4407"/>
    <w:rsid w:val="00FF0FC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D8"/>
  </w:style>
  <w:style w:type="paragraph" w:styleId="1">
    <w:name w:val="heading 1"/>
    <w:basedOn w:val="a"/>
    <w:next w:val="a"/>
    <w:link w:val="10"/>
    <w:qFormat/>
    <w:rsid w:val="007F0E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0FD8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300FD8"/>
  </w:style>
  <w:style w:type="paragraph" w:customStyle="1" w:styleId="ConsPlusNormal">
    <w:name w:val="ConsPlusNormal"/>
    <w:link w:val="ConsPlusNormal0"/>
    <w:rsid w:val="00300F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300FD8"/>
    <w:rPr>
      <w:lang w:val="ru-RU" w:eastAsia="ru-RU" w:bidi="ar-SA"/>
    </w:rPr>
  </w:style>
  <w:style w:type="paragraph" w:styleId="2">
    <w:name w:val="Body Text 2"/>
    <w:basedOn w:val="a"/>
    <w:rsid w:val="00300FD8"/>
    <w:pPr>
      <w:jc w:val="center"/>
    </w:pPr>
    <w:rPr>
      <w:b/>
      <w:sz w:val="28"/>
    </w:rPr>
  </w:style>
  <w:style w:type="table" w:styleId="a6">
    <w:name w:val="Table Grid"/>
    <w:basedOn w:val="a1"/>
    <w:rsid w:val="0030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0FD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F0E66"/>
    <w:rPr>
      <w:sz w:val="28"/>
    </w:rPr>
  </w:style>
  <w:style w:type="character" w:customStyle="1" w:styleId="ConsPlusNormal0">
    <w:name w:val="ConsPlusNormal Знак"/>
    <w:link w:val="ConsPlusNormal"/>
    <w:locked/>
    <w:rsid w:val="0020751F"/>
    <w:rPr>
      <w:rFonts w:ascii="Arial" w:hAnsi="Arial" w:cs="Arial"/>
      <w:lang w:val="ru-RU" w:eastAsia="ru-RU" w:bidi="ar-SA"/>
    </w:rPr>
  </w:style>
  <w:style w:type="paragraph" w:customStyle="1" w:styleId="1c">
    <w:name w:val="Абзац1 c отступом"/>
    <w:basedOn w:val="a"/>
    <w:rsid w:val="0020751F"/>
    <w:pPr>
      <w:spacing w:after="60" w:line="360" w:lineRule="exact"/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728B0"/>
    <w:pPr>
      <w:ind w:left="720"/>
      <w:contextualSpacing/>
    </w:pPr>
  </w:style>
  <w:style w:type="paragraph" w:styleId="a8">
    <w:name w:val="footer"/>
    <w:basedOn w:val="a"/>
    <w:link w:val="a9"/>
    <w:uiPriority w:val="99"/>
    <w:rsid w:val="00FA5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43F"/>
  </w:style>
  <w:style w:type="numbering" w:customStyle="1" w:styleId="11">
    <w:name w:val="Нет списка1"/>
    <w:next w:val="a2"/>
    <w:uiPriority w:val="99"/>
    <w:semiHidden/>
    <w:unhideWhenUsed/>
    <w:rsid w:val="00C8402C"/>
  </w:style>
  <w:style w:type="paragraph" w:customStyle="1" w:styleId="ConsPlusTitle">
    <w:name w:val="ConsPlusTitle"/>
    <w:uiPriority w:val="99"/>
    <w:rsid w:val="00C840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C8402C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C8402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C8402C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402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44446;fld=134;dst=1000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BDD9628D7DE185046F947668F2A25E0A6813FBD32B2202263547801A3ACEC672623D418EC1A4C0E51DDFWAN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5E39-256B-45B6-B153-3961E956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УНИНСКОГО  РАЙОНА</vt:lpstr>
    </vt:vector>
  </TitlesOfParts>
  <Company/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УНИНСКОГО  РАЙОНА</dc:title>
  <dc:creator>UserEV</dc:creator>
  <cp:lastModifiedBy>Sysadmin</cp:lastModifiedBy>
  <cp:revision>16</cp:revision>
  <cp:lastPrinted>2023-02-21T11:38:00Z</cp:lastPrinted>
  <dcterms:created xsi:type="dcterms:W3CDTF">2023-01-23T05:46:00Z</dcterms:created>
  <dcterms:modified xsi:type="dcterms:W3CDTF">2023-03-01T10:40:00Z</dcterms:modified>
</cp:coreProperties>
</file>